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953" w14:textId="77777777" w:rsidR="004C38D9" w:rsidRPr="004C38D9" w:rsidRDefault="004C38D9" w:rsidP="004C38D9">
      <w:pPr>
        <w:rPr>
          <w:sz w:val="32"/>
          <w:szCs w:val="32"/>
          <w:lang w:val="en-GB"/>
        </w:rPr>
      </w:pPr>
      <w:r w:rsidRPr="004C38D9">
        <w:rPr>
          <w:b/>
          <w:sz w:val="32"/>
          <w:szCs w:val="32"/>
          <w:lang w:val="en-GB"/>
        </w:rPr>
        <w:t>Joshua 2:1 – 24</w:t>
      </w:r>
    </w:p>
    <w:p w14:paraId="27703EAC" w14:textId="77777777" w:rsidR="004C38D9" w:rsidRPr="004C38D9" w:rsidRDefault="004C38D9" w:rsidP="004C38D9">
      <w:pPr>
        <w:jc w:val="both"/>
        <w:rPr>
          <w:sz w:val="28"/>
          <w:szCs w:val="28"/>
          <w:lang w:val="en-GB"/>
        </w:rPr>
      </w:pPr>
      <w:r w:rsidRPr="004C38D9">
        <w:rPr>
          <w:sz w:val="28"/>
          <w:szCs w:val="28"/>
          <w:lang w:val="en-GB"/>
        </w:rPr>
        <w:t>Th</w:t>
      </w:r>
      <w:r w:rsidRPr="004C38D9">
        <w:rPr>
          <w:b/>
          <w:sz w:val="28"/>
          <w:szCs w:val="28"/>
          <w:lang w:val="en-GB"/>
        </w:rPr>
        <w:t>is</w:t>
      </w:r>
      <w:r w:rsidRPr="004C38D9">
        <w:rPr>
          <w:sz w:val="28"/>
          <w:szCs w:val="28"/>
          <w:lang w:val="en-GB"/>
        </w:rPr>
        <w:t xml:space="preserve"> section of the Torah (Numbers 13:1 – 15:41) reports that of the twelve spies sent by Moses, only Caleb and Joshua returned with the encouraging and right message: the land “flows with milk and honey”. The others spread dreadful news, filling the people with fear. In the chapter of the Haftarah, Joshua now sends spies out, namely to Jericho in preparation for the crossing of the Jordan River.</w:t>
      </w:r>
    </w:p>
    <w:p w14:paraId="48556C04" w14:textId="77777777" w:rsidR="004C38D9" w:rsidRPr="004C38D9" w:rsidRDefault="004C38D9" w:rsidP="004C38D9">
      <w:pPr>
        <w:jc w:val="both"/>
        <w:rPr>
          <w:b/>
          <w:sz w:val="28"/>
          <w:szCs w:val="28"/>
          <w:lang w:val="en-GB"/>
        </w:rPr>
      </w:pPr>
      <w:r w:rsidRPr="004C38D9">
        <w:rPr>
          <w:b/>
          <w:sz w:val="28"/>
          <w:szCs w:val="28"/>
          <w:lang w:val="en-GB"/>
        </w:rPr>
        <w:t xml:space="preserve">1) </w:t>
      </w:r>
      <w:r w:rsidRPr="004C38D9">
        <w:rPr>
          <w:b/>
          <w:sz w:val="28"/>
          <w:szCs w:val="28"/>
          <w:lang w:val="en-GB"/>
        </w:rPr>
        <w:tab/>
        <w:t>Blessing in spite of lying?</w:t>
      </w:r>
    </w:p>
    <w:p w14:paraId="60308704" w14:textId="77777777" w:rsidR="004C38D9" w:rsidRPr="004C38D9" w:rsidRDefault="004C38D9" w:rsidP="004C38D9">
      <w:pPr>
        <w:jc w:val="both"/>
        <w:rPr>
          <w:i/>
          <w:sz w:val="28"/>
          <w:szCs w:val="28"/>
          <w:lang w:val="en-GB"/>
        </w:rPr>
      </w:pPr>
      <w:r w:rsidRPr="004C38D9">
        <w:rPr>
          <w:i/>
          <w:sz w:val="28"/>
          <w:szCs w:val="28"/>
          <w:lang w:val="en-GB"/>
        </w:rPr>
        <w:t>“So the king of Jericho sent this message to ‘Rahab: ´Bring out the men who came to you and entered your house, because they have come to spy out the whole land´. But the woman had taken the two men and hidden them. She said, ´Yes, the men came to me, but I did not know where they had come from. At dusk, when it was time to close the city gate, the men left. I don’t know which way they went. Go after the men quickly. You may catch up with them´. (But she had taken them up to the roof and hidden them under the stalks of flax…”) (v.3–6).</w:t>
      </w:r>
    </w:p>
    <w:p w14:paraId="04866A3F" w14:textId="77777777" w:rsidR="004C38D9" w:rsidRPr="004C38D9" w:rsidRDefault="004C38D9" w:rsidP="004C38D9">
      <w:pPr>
        <w:jc w:val="both"/>
        <w:rPr>
          <w:sz w:val="28"/>
          <w:szCs w:val="28"/>
          <w:lang w:val="en-GB"/>
        </w:rPr>
      </w:pPr>
      <w:r w:rsidRPr="004C38D9">
        <w:rPr>
          <w:sz w:val="28"/>
          <w:szCs w:val="28"/>
          <w:lang w:val="en-GB"/>
        </w:rPr>
        <w:t>Rahab’s report is clearly a lie. Can God then tolerate lies and bless a liar in such a remarkable way as we read in the following verses?  After all, our God is “the truth” and does not tolerate darkness! The letter of John makes that plain as well: “…God is light; in Him there is no darkness at all. If we claim to have fellowship with Him yet walk in the darkness, we lie …” (1 John 1:5-6).</w:t>
      </w:r>
    </w:p>
    <w:p w14:paraId="18A2ADFB" w14:textId="77777777" w:rsidR="004C38D9" w:rsidRPr="004C38D9" w:rsidRDefault="004C38D9" w:rsidP="004C38D9">
      <w:pPr>
        <w:jc w:val="both"/>
        <w:rPr>
          <w:sz w:val="28"/>
          <w:szCs w:val="28"/>
          <w:lang w:val="en-GB"/>
        </w:rPr>
      </w:pPr>
      <w:r w:rsidRPr="004C38D9">
        <w:rPr>
          <w:sz w:val="28"/>
          <w:szCs w:val="28"/>
          <w:lang w:val="en-GB"/>
        </w:rPr>
        <w:t>What about us? When we lie, isn’t it true that it is usually because of one of the following conditions (not to say “reasons”)? We don’t want to admit failure. We want to steer clear of a difficulty or confrontation. We look for a way seeming easier to us. Always it is about ourselves. .</w:t>
      </w:r>
    </w:p>
    <w:p w14:paraId="7AB4338F" w14:textId="77777777" w:rsidR="004C38D9" w:rsidRPr="004C38D9" w:rsidRDefault="004C38D9" w:rsidP="004C38D9">
      <w:pPr>
        <w:jc w:val="both"/>
        <w:rPr>
          <w:sz w:val="28"/>
          <w:szCs w:val="28"/>
          <w:lang w:val="en-GB"/>
        </w:rPr>
      </w:pPr>
      <w:r w:rsidRPr="004C38D9">
        <w:rPr>
          <w:sz w:val="28"/>
          <w:szCs w:val="28"/>
          <w:lang w:val="en-GB"/>
        </w:rPr>
        <w:t>In the case of Rahab it is different (see Hebr. 11:31). And that may be the key to understanding: Rahab resorts to a ruse as she wants to protect the envoys of God’s people. Is this not an eloquent example of God’s wonderful promise: He will bless those who bless His people (see Gen. 12:3)?</w:t>
      </w:r>
    </w:p>
    <w:p w14:paraId="02C09743" w14:textId="77777777" w:rsidR="004C38D9" w:rsidRPr="004C38D9" w:rsidRDefault="004C38D9" w:rsidP="004C38D9">
      <w:pPr>
        <w:jc w:val="both"/>
        <w:rPr>
          <w:sz w:val="28"/>
          <w:szCs w:val="28"/>
          <w:lang w:val="en-GB"/>
        </w:rPr>
      </w:pPr>
      <w:r w:rsidRPr="004C38D9">
        <w:rPr>
          <w:sz w:val="28"/>
          <w:szCs w:val="28"/>
          <w:lang w:val="en-GB"/>
        </w:rPr>
        <w:t xml:space="preserve">Rahab did not deliberately set out to protect Jews. She was suddenly confronted with the need to provide accommodation for the spies. And there may well be situations today or tomorrow in our lives also where we have to decide spontaneously either to help or to reject. During the reign of the Nazis there were thousands of situations that involved agonizing decisions: to open or to close doors and hearts, to hide and rescue or to extradite. Let us think of the exemplary men and women who in spite of great danger to their own lives at the time of the persecution of the Jews provided Jewish fellow citizens with refuge or the </w:t>
      </w:r>
      <w:r w:rsidRPr="004C38D9">
        <w:rPr>
          <w:sz w:val="28"/>
          <w:szCs w:val="28"/>
          <w:lang w:val="en-GB"/>
        </w:rPr>
        <w:lastRenderedPageBreak/>
        <w:t>possibility to escape. That was often possible only by dodging laws and regulations, as in the case of the Swede Raoul Wallenberg. Passports were forged, data manipulated and names changed in order to provide even the slightest chance for rescue. The “Avenue of the Righteous” in the memorial site “Yad Vashem” in Jerusalem bears eloquent witness to those rescue operations.</w:t>
      </w:r>
    </w:p>
    <w:p w14:paraId="534865F2" w14:textId="77777777" w:rsidR="004C38D9" w:rsidRPr="004C38D9" w:rsidRDefault="004C38D9" w:rsidP="004C38D9">
      <w:pPr>
        <w:jc w:val="both"/>
        <w:rPr>
          <w:sz w:val="28"/>
          <w:szCs w:val="28"/>
          <w:lang w:val="en-GB"/>
        </w:rPr>
      </w:pPr>
      <w:r w:rsidRPr="004C38D9">
        <w:rPr>
          <w:sz w:val="28"/>
          <w:szCs w:val="28"/>
          <w:lang w:val="en-GB"/>
        </w:rPr>
        <w:t>Rahab did not choose the situation; the spies suddenly knock at her door. But when we take the word of Jesus seriously “…Whatever you did for one of the least of these brothers of Mine, you did for Me (Mt: 25:40),” then we will strive to support God’s first loved and eternally loved people of Israel. Then we will consider it our holy duty and privilege to do good to individual Jews or to the Jewish state somehow, to support relief organisations, to comfort His people (Isa. 40:1) or …?</w:t>
      </w:r>
    </w:p>
    <w:p w14:paraId="78C2E7C1" w14:textId="77777777" w:rsidR="004C38D9" w:rsidRPr="004C38D9" w:rsidRDefault="004C38D9" w:rsidP="004C38D9">
      <w:pPr>
        <w:jc w:val="both"/>
        <w:rPr>
          <w:b/>
          <w:sz w:val="28"/>
          <w:szCs w:val="28"/>
          <w:lang w:val="en-GB"/>
        </w:rPr>
      </w:pPr>
      <w:r w:rsidRPr="004C38D9">
        <w:rPr>
          <w:b/>
          <w:sz w:val="28"/>
          <w:szCs w:val="28"/>
          <w:lang w:val="en-GB"/>
        </w:rPr>
        <w:t>2)</w:t>
      </w:r>
      <w:r w:rsidRPr="004C38D9">
        <w:rPr>
          <w:b/>
          <w:sz w:val="28"/>
          <w:szCs w:val="28"/>
          <w:lang w:val="en-GB"/>
        </w:rPr>
        <w:tab/>
        <w:t xml:space="preserve"> Unmistakable for the Gentiles</w:t>
      </w:r>
    </w:p>
    <w:p w14:paraId="40EB3061" w14:textId="77777777" w:rsidR="004C38D9" w:rsidRPr="004C38D9" w:rsidRDefault="004C38D9" w:rsidP="004C38D9">
      <w:pPr>
        <w:jc w:val="both"/>
        <w:rPr>
          <w:i/>
          <w:sz w:val="28"/>
          <w:szCs w:val="28"/>
          <w:lang w:val="en-GB"/>
        </w:rPr>
      </w:pPr>
      <w:r w:rsidRPr="004C38D9">
        <w:rPr>
          <w:sz w:val="28"/>
          <w:szCs w:val="28"/>
          <w:lang w:val="en-GB"/>
        </w:rPr>
        <w:t>Rahab said to the spies:</w:t>
      </w:r>
      <w:r w:rsidRPr="004C38D9">
        <w:rPr>
          <w:i/>
          <w:sz w:val="28"/>
          <w:szCs w:val="28"/>
          <w:lang w:val="en-GB"/>
        </w:rPr>
        <w:t xml:space="preserve"> “…I know that the LORD has given this land to you and that a great fear of you has fallen on us, so that all who live in this country are melting in fear because of you. We have heard how the LORD dried up the water of the Red Sea for you when you came out of Egypt, and what you did to Sihon and Og, the two kings of the Amorites east of the Jordan, whom you completely destroyed. When we heard of it, our hearts melted and everyone’s courage failed because of you, for the LORD your God is God in heaven above and on the earth below” (v.9–11).</w:t>
      </w:r>
    </w:p>
    <w:p w14:paraId="6CB13BC2" w14:textId="77777777" w:rsidR="004C38D9" w:rsidRPr="004C38D9" w:rsidRDefault="004C38D9" w:rsidP="004C38D9">
      <w:pPr>
        <w:jc w:val="both"/>
        <w:rPr>
          <w:sz w:val="28"/>
          <w:szCs w:val="28"/>
          <w:lang w:val="en-GB"/>
        </w:rPr>
      </w:pPr>
      <w:r w:rsidRPr="004C38D9">
        <w:rPr>
          <w:sz w:val="28"/>
          <w:szCs w:val="28"/>
          <w:lang w:val="en-GB"/>
        </w:rPr>
        <w:t>Rahab grew up in a different foreign cultural setting and probably without a religious background. But she has heard about the God of Israel. What specifically has she heard? That God gave the land to the Jews. That He gave them amazing success, which is why the citizens of the country got totally discouraged. That God did the great miracle at the Red Sea. And that the God of Israel is the God who rules over heaven and earth. (Oh, if only all Christians would have internalized all this, for example that we believe in the God of Israel and that it is He who gave the highly contested land to His people and even dedicated it to them by holy oath!)</w:t>
      </w:r>
    </w:p>
    <w:p w14:paraId="6B5932D2" w14:textId="37CE4D51" w:rsidR="004C38D9" w:rsidRPr="004C38D9" w:rsidRDefault="004C38D9" w:rsidP="004C38D9">
      <w:pPr>
        <w:jc w:val="both"/>
        <w:rPr>
          <w:sz w:val="28"/>
          <w:szCs w:val="28"/>
          <w:lang w:val="en-GB"/>
        </w:rPr>
      </w:pPr>
      <w:r>
        <w:rPr>
          <w:sz w:val="28"/>
          <w:szCs w:val="28"/>
          <w:lang w:val="en-GB"/>
        </w:rPr>
        <w:t>R</w:t>
      </w:r>
      <w:r w:rsidRPr="004C38D9">
        <w:rPr>
          <w:sz w:val="28"/>
          <w:szCs w:val="28"/>
          <w:lang w:val="en-GB"/>
        </w:rPr>
        <w:t xml:space="preserve">ahab knows that the citizens of Jericho are melting in fear because of the powerful actions of God. Similarly we read about the Egyptians in the days of the Pharaoh and of the exodus of the Israelites: “Egypt was glad when they left, because dread of Israel had fallen on them” (Ps. 105:38). And the LORD looked “…at the Egyptian army and threw it into confusion. He made the wheels of their chariots come off so that they had difficulty driving. And the Egyptians said, </w:t>
      </w:r>
      <w:r w:rsidRPr="004C38D9">
        <w:rPr>
          <w:sz w:val="28"/>
          <w:szCs w:val="28"/>
          <w:lang w:val="en-GB"/>
        </w:rPr>
        <w:lastRenderedPageBreak/>
        <w:t>´Let’s get away from the Israelites! The LORD is fighting for them against Egypt” (Ex.14: 24-25).</w:t>
      </w:r>
    </w:p>
    <w:p w14:paraId="0562A997" w14:textId="77777777" w:rsidR="004C38D9" w:rsidRPr="004C38D9" w:rsidRDefault="004C38D9" w:rsidP="004C38D9">
      <w:pPr>
        <w:jc w:val="both"/>
        <w:rPr>
          <w:sz w:val="28"/>
          <w:szCs w:val="28"/>
          <w:lang w:val="en-GB"/>
        </w:rPr>
      </w:pPr>
      <w:r w:rsidRPr="004C38D9">
        <w:rPr>
          <w:sz w:val="28"/>
          <w:szCs w:val="28"/>
          <w:lang w:val="en-GB"/>
        </w:rPr>
        <w:t>When we read about Babylon’s ruler of terror, Nebuchadnezzar, we learn something astonishing:   When he sees how the three men in the furnace are saved totally unharmed, he calls out: “…Praise be to the God of Shadrach, Meshach and Abednego, who has sent His angel and rescued His servants! … Therefore I decree that the people of any nation or language who say anything against the God of Shadrach, Meshach and Abednego be cut into pieces and their houses be turned into piles of rubble, for no other god can save in this way” (Dan. 3:28-29). This pagan Nebuchadnezzar recognizes that the God of Israel is also working through Daniel’s exceptional interpretation of his dream. “It is my pleasure to tell you about the miraculous signs and wonders that the Most High God has performed for me. How great are His signs, how mighty His wonders! His kingdom is an eternal kingdom, His dominion endures from generation to generation” (Dan. 4:2-3). (It is shocking, however, that this realization and this confession escape the king’s view and heart after twelve months. His pride drives the awe away (see Dan. 4:28 – 32).</w:t>
      </w:r>
    </w:p>
    <w:p w14:paraId="5DC26220" w14:textId="77777777" w:rsidR="004C38D9" w:rsidRPr="004C38D9" w:rsidRDefault="004C38D9" w:rsidP="004C38D9">
      <w:pPr>
        <w:jc w:val="both"/>
        <w:rPr>
          <w:sz w:val="28"/>
          <w:szCs w:val="28"/>
          <w:lang w:val="en-GB"/>
        </w:rPr>
      </w:pPr>
      <w:r w:rsidRPr="004C38D9">
        <w:rPr>
          <w:sz w:val="28"/>
          <w:szCs w:val="28"/>
          <w:lang w:val="en-GB"/>
        </w:rPr>
        <w:t xml:space="preserve">That the nations might recognize the Almighty One as the one acting on behalf of Israel is brought to the LORD by Jews in their prayers again and again. David for instance prays in Ps. 67:1-2: “May God be gracious to  u s  and bless  u s  and make His face shine upon  u s , that Your ways may be known on earth, Your salvation among  a l </w:t>
      </w:r>
      <w:proofErr w:type="spellStart"/>
      <w:r w:rsidRPr="004C38D9">
        <w:rPr>
          <w:sz w:val="28"/>
          <w:szCs w:val="28"/>
          <w:lang w:val="en-GB"/>
        </w:rPr>
        <w:t>l</w:t>
      </w:r>
      <w:proofErr w:type="spellEnd"/>
      <w:r w:rsidRPr="004C38D9">
        <w:rPr>
          <w:sz w:val="28"/>
          <w:szCs w:val="28"/>
          <w:lang w:val="en-GB"/>
        </w:rPr>
        <w:t xml:space="preserve">  nations.”</w:t>
      </w:r>
      <w:r w:rsidRPr="004C38D9">
        <w:rPr>
          <w:sz w:val="28"/>
          <w:szCs w:val="28"/>
          <w:vertAlign w:val="superscript"/>
          <w:lang w:val="en-GB"/>
        </w:rPr>
        <w:footnoteReference w:id="1"/>
      </w:r>
    </w:p>
    <w:p w14:paraId="053B5E6A" w14:textId="77777777" w:rsidR="004C38D9" w:rsidRPr="004C38D9" w:rsidRDefault="004C38D9" w:rsidP="004C38D9">
      <w:pPr>
        <w:jc w:val="both"/>
        <w:rPr>
          <w:sz w:val="28"/>
          <w:szCs w:val="28"/>
          <w:lang w:val="en-GB"/>
        </w:rPr>
      </w:pPr>
      <w:r w:rsidRPr="004C38D9">
        <w:rPr>
          <w:sz w:val="28"/>
          <w:szCs w:val="28"/>
          <w:lang w:val="en-GB"/>
        </w:rPr>
        <w:t>When the temple is consecrated, Solomon intercedes for the foreigners with the words: “…Do whatever the foreigner asks of You, so that all the peoples of the earth may know Your name and fear You, as do Your own people Israel…” (1 Kings 8:43). Hezekiah implores the LORD to rescue him from Sennacherib, king of Assyria, wishing expressly that this may be a testimony to the LORD: “Now, O LORD our God, deliver us from his hand, so that all kingdoms on earth may know that You alone, O LORD, are God” (2 Kings 19:19).</w:t>
      </w:r>
    </w:p>
    <w:p w14:paraId="43961127" w14:textId="77777777" w:rsidR="004C38D9" w:rsidRPr="004C38D9" w:rsidRDefault="004C38D9" w:rsidP="004C38D9">
      <w:pPr>
        <w:jc w:val="both"/>
        <w:rPr>
          <w:sz w:val="28"/>
          <w:szCs w:val="28"/>
          <w:lang w:val="en-GB"/>
        </w:rPr>
      </w:pPr>
      <w:r w:rsidRPr="004C38D9">
        <w:rPr>
          <w:sz w:val="28"/>
          <w:szCs w:val="28"/>
          <w:lang w:val="en-GB"/>
        </w:rPr>
        <w:t>And this missionary concern, so to speak, is brought to the LORD again and again in the synagogues right to the present day -- using these words, for example: “May all inhabitants of the world recognize that You alone are God over all empires of the world”</w:t>
      </w:r>
      <w:r w:rsidRPr="004C38D9">
        <w:rPr>
          <w:sz w:val="28"/>
          <w:szCs w:val="28"/>
          <w:vertAlign w:val="superscript"/>
          <w:lang w:val="en-GB"/>
        </w:rPr>
        <w:footnoteReference w:id="2"/>
      </w:r>
    </w:p>
    <w:p w14:paraId="6F1CD4AA" w14:textId="77777777" w:rsidR="004C38D9" w:rsidRPr="004C38D9" w:rsidRDefault="004C38D9" w:rsidP="004C38D9">
      <w:pPr>
        <w:jc w:val="both"/>
        <w:rPr>
          <w:sz w:val="28"/>
          <w:szCs w:val="28"/>
          <w:lang w:val="en-GB"/>
        </w:rPr>
      </w:pPr>
    </w:p>
    <w:p w14:paraId="4017733F" w14:textId="77777777" w:rsidR="004C38D9" w:rsidRPr="004C38D9" w:rsidRDefault="004C38D9" w:rsidP="004C38D9">
      <w:pPr>
        <w:jc w:val="both"/>
        <w:rPr>
          <w:sz w:val="28"/>
          <w:szCs w:val="28"/>
          <w:lang w:val="en-GB"/>
        </w:rPr>
      </w:pPr>
      <w:r w:rsidRPr="004C38D9">
        <w:rPr>
          <w:sz w:val="28"/>
          <w:szCs w:val="28"/>
          <w:lang w:val="en-GB"/>
        </w:rPr>
        <w:t>This is according to God’s desire and action. He will act powerfully and mercifully for His beloved people of Israel and “…then the nations will know that I am the LORD, declares the Sovereign LORD, when I show Myself holy through you before their eyes” (Ezek. 36:23).</w:t>
      </w:r>
    </w:p>
    <w:p w14:paraId="2F79EAA9" w14:textId="77777777" w:rsidR="004C38D9" w:rsidRPr="004C38D9" w:rsidRDefault="004C38D9" w:rsidP="004C38D9">
      <w:pPr>
        <w:jc w:val="both"/>
        <w:rPr>
          <w:sz w:val="28"/>
          <w:szCs w:val="28"/>
          <w:lang w:val="en-GB"/>
        </w:rPr>
      </w:pPr>
      <w:r w:rsidRPr="004C38D9">
        <w:rPr>
          <w:sz w:val="28"/>
          <w:szCs w:val="28"/>
          <w:lang w:val="en-GB"/>
        </w:rPr>
        <w:t>The God of Abraham, Isaac and Jacob will do it in His wonderful way. But when we belong to those for whom He has done great things, then we should  also share it with others “…to the praise of His glorious grace…” (Eph. 1:6).</w:t>
      </w:r>
    </w:p>
    <w:p w14:paraId="732C1468" w14:textId="77777777" w:rsidR="004C38D9" w:rsidRPr="004C38D9" w:rsidRDefault="004C38D9" w:rsidP="004C38D9">
      <w:pPr>
        <w:jc w:val="both"/>
        <w:rPr>
          <w:sz w:val="28"/>
          <w:szCs w:val="28"/>
          <w:lang w:val="en-GB"/>
        </w:rPr>
      </w:pPr>
    </w:p>
    <w:p w14:paraId="7D17D0C4" w14:textId="77777777" w:rsidR="004C38D9" w:rsidRPr="004C38D9" w:rsidRDefault="004C38D9" w:rsidP="004C38D9">
      <w:pPr>
        <w:jc w:val="both"/>
        <w:rPr>
          <w:sz w:val="28"/>
          <w:szCs w:val="28"/>
          <w:lang w:val="en-GB"/>
        </w:rPr>
      </w:pPr>
    </w:p>
    <w:p w14:paraId="1803C906" w14:textId="15B0DA21" w:rsidR="00E573F3" w:rsidRPr="004C38D9" w:rsidRDefault="004C38D9" w:rsidP="004C38D9">
      <w:pPr>
        <w:jc w:val="both"/>
        <w:rPr>
          <w:sz w:val="28"/>
          <w:szCs w:val="28"/>
        </w:rPr>
      </w:pPr>
      <w:r w:rsidRPr="004C38D9">
        <w:rPr>
          <w:sz w:val="28"/>
          <w:szCs w:val="28"/>
          <w:lang w:val="en-GB"/>
        </w:rPr>
        <w:br w:type="page"/>
      </w:r>
    </w:p>
    <w:sectPr w:rsidR="00E573F3" w:rsidRPr="004C38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251E" w14:textId="77777777" w:rsidR="007E1521" w:rsidRDefault="007E1521" w:rsidP="004C38D9">
      <w:pPr>
        <w:spacing w:after="0" w:line="240" w:lineRule="auto"/>
      </w:pPr>
      <w:r>
        <w:separator/>
      </w:r>
    </w:p>
  </w:endnote>
  <w:endnote w:type="continuationSeparator" w:id="0">
    <w:p w14:paraId="439DC5C9" w14:textId="77777777" w:rsidR="007E1521" w:rsidRDefault="007E1521" w:rsidP="004C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2B6E" w14:textId="77777777" w:rsidR="007E1521" w:rsidRDefault="007E1521" w:rsidP="004C38D9">
      <w:pPr>
        <w:spacing w:after="0" w:line="240" w:lineRule="auto"/>
      </w:pPr>
      <w:r>
        <w:separator/>
      </w:r>
    </w:p>
  </w:footnote>
  <w:footnote w:type="continuationSeparator" w:id="0">
    <w:p w14:paraId="2A7B3249" w14:textId="77777777" w:rsidR="007E1521" w:rsidRDefault="007E1521" w:rsidP="004C38D9">
      <w:pPr>
        <w:spacing w:after="0" w:line="240" w:lineRule="auto"/>
      </w:pPr>
      <w:r>
        <w:continuationSeparator/>
      </w:r>
    </w:p>
  </w:footnote>
  <w:footnote w:id="1">
    <w:p w14:paraId="3CACDF42" w14:textId="77777777" w:rsidR="004C38D9" w:rsidRDefault="004C38D9" w:rsidP="004C38D9">
      <w:pPr>
        <w:pStyle w:val="Funotentext"/>
        <w:rPr>
          <w:lang w:val="en-GB"/>
        </w:rPr>
      </w:pPr>
      <w:r>
        <w:rPr>
          <w:rStyle w:val="Funotenzeichen"/>
          <w:rFonts w:eastAsiaTheme="majorEastAsia"/>
        </w:rPr>
        <w:footnoteRef/>
      </w:r>
      <w:r>
        <w:rPr>
          <w:lang w:val="en-GB"/>
        </w:rPr>
        <w:t xml:space="preserve"> Words spaced out by W.B.</w:t>
      </w:r>
    </w:p>
  </w:footnote>
  <w:footnote w:id="2">
    <w:p w14:paraId="4EFDB474" w14:textId="77777777" w:rsidR="004C38D9" w:rsidRDefault="004C38D9" w:rsidP="004C38D9">
      <w:pPr>
        <w:pStyle w:val="Funotentext"/>
      </w:pPr>
      <w:r>
        <w:rPr>
          <w:rStyle w:val="Funotenzeichen"/>
          <w:rFonts w:eastAsiaTheme="majorEastAsia"/>
        </w:rPr>
        <w:footnoteRef/>
      </w:r>
      <w:r>
        <w:t xml:space="preserve"> </w:t>
      </w:r>
      <w:proofErr w:type="spellStart"/>
      <w:r>
        <w:t>Siddur</w:t>
      </w:r>
      <w:proofErr w:type="spellEnd"/>
      <w:r>
        <w:t xml:space="preserve"> Schma Kolenu, Basel/</w:t>
      </w:r>
      <w:proofErr w:type="spellStart"/>
      <w:r>
        <w:t>Zurich</w:t>
      </w:r>
      <w:proofErr w:type="spellEnd"/>
      <w:r>
        <w:t xml:space="preserve"> 1996, </w:t>
      </w:r>
      <w:proofErr w:type="spellStart"/>
      <w:r>
        <w:t>page</w:t>
      </w:r>
      <w:proofErr w:type="spellEnd"/>
      <w:r>
        <w:t xml:space="preserve"> 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D9"/>
    <w:rsid w:val="0014716C"/>
    <w:rsid w:val="004C38D9"/>
    <w:rsid w:val="004F3176"/>
    <w:rsid w:val="007E1521"/>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59CE"/>
  <w15:chartTrackingRefBased/>
  <w15:docId w15:val="{DCA3224E-35A4-4D63-A787-4EE8A2AB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C3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C3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C3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C3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C38D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C3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38D9"/>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C38D9"/>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38D9"/>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38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C38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C38D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C38D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C38D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4C38D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38D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4C38D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38D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4C3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38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3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38D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4C38D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C38D9"/>
    <w:rPr>
      <w:i/>
      <w:iCs/>
      <w:color w:val="404040" w:themeColor="text1" w:themeTint="BF"/>
    </w:rPr>
  </w:style>
  <w:style w:type="paragraph" w:styleId="Listenabsatz">
    <w:name w:val="List Paragraph"/>
    <w:basedOn w:val="Standard"/>
    <w:uiPriority w:val="34"/>
    <w:qFormat/>
    <w:rsid w:val="004C38D9"/>
    <w:pPr>
      <w:ind w:left="720"/>
      <w:contextualSpacing/>
    </w:pPr>
  </w:style>
  <w:style w:type="character" w:styleId="IntensiveHervorhebung">
    <w:name w:val="Intense Emphasis"/>
    <w:basedOn w:val="Absatz-Standardschriftart"/>
    <w:uiPriority w:val="21"/>
    <w:qFormat/>
    <w:rsid w:val="004C38D9"/>
    <w:rPr>
      <w:i/>
      <w:iCs/>
      <w:color w:val="0F4761" w:themeColor="accent1" w:themeShade="BF"/>
    </w:rPr>
  </w:style>
  <w:style w:type="paragraph" w:styleId="IntensivesZitat">
    <w:name w:val="Intense Quote"/>
    <w:basedOn w:val="Standard"/>
    <w:next w:val="Standard"/>
    <w:link w:val="IntensivesZitatZchn"/>
    <w:uiPriority w:val="30"/>
    <w:qFormat/>
    <w:rsid w:val="004C3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C38D9"/>
    <w:rPr>
      <w:i/>
      <w:iCs/>
      <w:color w:val="0F4761" w:themeColor="accent1" w:themeShade="BF"/>
    </w:rPr>
  </w:style>
  <w:style w:type="character" w:styleId="IntensiverVerweis">
    <w:name w:val="Intense Reference"/>
    <w:basedOn w:val="Absatz-Standardschriftart"/>
    <w:uiPriority w:val="32"/>
    <w:qFormat/>
    <w:rsid w:val="004C38D9"/>
    <w:rPr>
      <w:b/>
      <w:bCs/>
      <w:smallCaps/>
      <w:color w:val="0F4761" w:themeColor="accent1" w:themeShade="BF"/>
      <w:spacing w:val="5"/>
    </w:rPr>
  </w:style>
  <w:style w:type="paragraph" w:styleId="Funotentext">
    <w:name w:val="footnote text"/>
    <w:basedOn w:val="Standard"/>
    <w:link w:val="FunotentextZchn"/>
    <w:semiHidden/>
    <w:unhideWhenUsed/>
    <w:rsid w:val="004C38D9"/>
    <w:pPr>
      <w:spacing w:after="0" w:line="240" w:lineRule="auto"/>
    </w:pPr>
    <w:rPr>
      <w:rFonts w:eastAsia="Times New Roman"/>
      <w:kern w:val="0"/>
      <w:sz w:val="20"/>
      <w:szCs w:val="20"/>
      <w:lang w:eastAsia="de-DE" w:bidi="ar-SA"/>
      <w14:ligatures w14:val="none"/>
    </w:rPr>
  </w:style>
  <w:style w:type="character" w:customStyle="1" w:styleId="FunotentextZchn">
    <w:name w:val="Fußnotentext Zchn"/>
    <w:basedOn w:val="Absatz-Standardschriftart"/>
    <w:link w:val="Funotentext"/>
    <w:semiHidden/>
    <w:rsid w:val="004C38D9"/>
    <w:rPr>
      <w:rFonts w:eastAsia="Times New Roman"/>
      <w:kern w:val="0"/>
      <w:sz w:val="20"/>
      <w:szCs w:val="20"/>
      <w:lang w:eastAsia="de-DE" w:bidi="ar-SA"/>
      <w14:ligatures w14:val="none"/>
    </w:rPr>
  </w:style>
  <w:style w:type="character" w:styleId="Funotenzeichen">
    <w:name w:val="footnote reference"/>
    <w:semiHidden/>
    <w:unhideWhenUsed/>
    <w:rsid w:val="004C38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6549</Characters>
  <Application>Microsoft Office Word</Application>
  <DocSecurity>0</DocSecurity>
  <Lines>119</Lines>
  <Paragraphs>23</Paragraphs>
  <ScaleCrop>false</ScaleCrop>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2026-04-23T09:22:00Z</dcterms:created>
  <dcterms:modified xsi:type="dcterms:W3CDTF">2026-04-23T09:25:00Z</dcterms:modified>
</cp:coreProperties>
</file>