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0B0E" w14:textId="77777777" w:rsidR="00256DE2" w:rsidRPr="00256DE2" w:rsidRDefault="00256DE2" w:rsidP="00256DE2">
      <w:pPr>
        <w:rPr>
          <w:b/>
          <w:sz w:val="32"/>
          <w:szCs w:val="32"/>
          <w:lang w:val="en-GB"/>
        </w:rPr>
      </w:pPr>
      <w:r w:rsidRPr="00256DE2">
        <w:rPr>
          <w:b/>
          <w:sz w:val="32"/>
          <w:szCs w:val="32"/>
          <w:lang w:val="en-GB"/>
        </w:rPr>
        <w:t>Jeremiah 16:19 – 17:14</w:t>
      </w:r>
    </w:p>
    <w:p w14:paraId="587D0514" w14:textId="77777777" w:rsidR="00256DE2" w:rsidRPr="00256DE2" w:rsidRDefault="00256DE2" w:rsidP="00256DE2">
      <w:pPr>
        <w:jc w:val="both"/>
        <w:rPr>
          <w:sz w:val="28"/>
          <w:szCs w:val="28"/>
          <w:lang w:val="en-GB"/>
        </w:rPr>
      </w:pPr>
      <w:r w:rsidRPr="00256DE2">
        <w:rPr>
          <w:sz w:val="28"/>
          <w:szCs w:val="28"/>
          <w:lang w:val="en-GB"/>
        </w:rPr>
        <w:t>In the Torah section for this week (Lev. 26:1 – 27:34) the God of Abraham, Isaac and Jacob states what a rich blessing He wants to give His people, but what the consequences are of coming under God´s curse through sin. In a similar way the Haftarah contrasts trusting in the LORD with failure and prophesises that even the nations will one day acknowledge that the one true God has all the power.</w:t>
      </w:r>
    </w:p>
    <w:p w14:paraId="50326DD2" w14:textId="77777777" w:rsidR="00256DE2" w:rsidRPr="00256DE2" w:rsidRDefault="00256DE2" w:rsidP="00256DE2">
      <w:pPr>
        <w:jc w:val="both"/>
        <w:rPr>
          <w:b/>
          <w:sz w:val="28"/>
          <w:szCs w:val="28"/>
          <w:lang w:val="en-GB"/>
        </w:rPr>
      </w:pPr>
      <w:r w:rsidRPr="00256DE2">
        <w:rPr>
          <w:b/>
          <w:sz w:val="28"/>
          <w:szCs w:val="28"/>
          <w:lang w:val="en-GB"/>
        </w:rPr>
        <w:t xml:space="preserve">1) </w:t>
      </w:r>
      <w:r w:rsidRPr="00256DE2">
        <w:rPr>
          <w:b/>
          <w:sz w:val="28"/>
          <w:szCs w:val="28"/>
          <w:lang w:val="en-GB"/>
        </w:rPr>
        <w:tab/>
        <w:t xml:space="preserve">The Gentiles´ late acknowledgement </w:t>
      </w:r>
    </w:p>
    <w:p w14:paraId="11E6F3FE" w14:textId="77777777" w:rsidR="00256DE2" w:rsidRPr="00256DE2" w:rsidRDefault="00256DE2" w:rsidP="00256DE2">
      <w:pPr>
        <w:jc w:val="both"/>
        <w:rPr>
          <w:sz w:val="28"/>
          <w:szCs w:val="28"/>
          <w:lang w:val="en-GB"/>
        </w:rPr>
      </w:pPr>
      <w:r w:rsidRPr="00256DE2">
        <w:rPr>
          <w:i/>
          <w:sz w:val="28"/>
          <w:szCs w:val="28"/>
          <w:lang w:val="en-GB"/>
        </w:rPr>
        <w:t>“O LORD, my strength and my fortress, my refuge in time of distress, to You the nations will come from the ends of the earth and say, ´Our fathers possessed nothing but false gods, worthless idols that did them no good. Do men make their own gods? Yes, but they are not gods!´ Therefore I will teach them – this time I will teach them My power and might. Then they will know that My name is the LORD” (16:19-21).</w:t>
      </w:r>
    </w:p>
    <w:p w14:paraId="647BA012" w14:textId="77777777" w:rsidR="00256DE2" w:rsidRPr="00256DE2" w:rsidRDefault="00256DE2" w:rsidP="00256DE2">
      <w:pPr>
        <w:jc w:val="both"/>
        <w:rPr>
          <w:sz w:val="28"/>
          <w:szCs w:val="28"/>
          <w:lang w:val="en-GB"/>
        </w:rPr>
      </w:pPr>
      <w:r w:rsidRPr="00256DE2">
        <w:rPr>
          <w:sz w:val="28"/>
          <w:szCs w:val="28"/>
          <w:lang w:val="en-GB"/>
        </w:rPr>
        <w:t>David states “All the gods of the nations are idols…”, and he does not leave it like that but exclaims “Ascribe to the LORD, O families of nations, ascribe to the LORD glory and strength!” (Ps. 96:5+7).”Praise the LORD, all you nations, extol Him, all you peoples” (Ps. 117:1). That corresponds with God´s aim. He desires that the whole world submit to Him. This request is also taken up in the Jewish prayer book, the Siddur</w:t>
      </w:r>
      <w:r w:rsidRPr="00256DE2">
        <w:rPr>
          <w:sz w:val="28"/>
          <w:szCs w:val="28"/>
          <w:vertAlign w:val="superscript"/>
          <w:lang w:val="en-GB"/>
        </w:rPr>
        <w:footnoteReference w:id="1"/>
      </w:r>
      <w:r w:rsidRPr="00256DE2">
        <w:rPr>
          <w:sz w:val="28"/>
          <w:szCs w:val="28"/>
          <w:lang w:val="en-GB"/>
        </w:rPr>
        <w:t>: “May all inhabitants of the world recognize and understand that You alone are God over all kingdoms of earth!” (p. 14) “Therefore we trust in You… that You remove all idols from the earth and totally erase all futile hallucinations; that the world will be erected through the work of the Almighty, that all mortals call upon Your name and all offenders of the earth turn to You” (p. 114). “All peoples that You have created might come and bow before You, LORD, and honour Your name!” (p. 136).</w:t>
      </w:r>
    </w:p>
    <w:p w14:paraId="4E17D918" w14:textId="77777777" w:rsidR="00256DE2" w:rsidRPr="00256DE2" w:rsidRDefault="00256DE2" w:rsidP="00256DE2">
      <w:pPr>
        <w:jc w:val="both"/>
        <w:rPr>
          <w:sz w:val="28"/>
          <w:szCs w:val="28"/>
          <w:lang w:val="en-GB"/>
        </w:rPr>
      </w:pPr>
      <w:r w:rsidRPr="00256DE2">
        <w:rPr>
          <w:sz w:val="28"/>
          <w:szCs w:val="28"/>
          <w:lang w:val="en-GB"/>
        </w:rPr>
        <w:t>That this aim will be reached is connected very closely with the Jewish people and with the history of Israel. What did the LORD promise to Abram already? “…All peoples on earth will be blessed through you” (Gen. 12:3).  The nations might and will recognize the Eternal One by the way He treats Israel. David is aware of this when praying: “May God be gracious to us (!) and bless us and make His face shine upon us, that Your ways may be known on earth, Your salvation among all (!) nations!”</w:t>
      </w:r>
      <w:r w:rsidRPr="00256DE2">
        <w:rPr>
          <w:sz w:val="28"/>
          <w:szCs w:val="28"/>
          <w:vertAlign w:val="superscript"/>
          <w:lang w:val="en-GB"/>
        </w:rPr>
        <w:footnoteReference w:id="2"/>
      </w:r>
      <w:r w:rsidRPr="00256DE2">
        <w:rPr>
          <w:sz w:val="28"/>
          <w:szCs w:val="28"/>
          <w:lang w:val="en-GB"/>
        </w:rPr>
        <w:t xml:space="preserve"> (Ps. 67:1-2). Concerning the end of times the LORD turns to Israel with the wonderful promise “… the glory of the LORD rises upon you. See, darkness covers the earth and thick darkness is over the peoples, but the </w:t>
      </w:r>
      <w:r w:rsidRPr="00256DE2">
        <w:rPr>
          <w:sz w:val="28"/>
          <w:szCs w:val="28"/>
          <w:lang w:val="en-GB"/>
        </w:rPr>
        <w:lastRenderedPageBreak/>
        <w:t xml:space="preserve">LORD rises upon you and His glory appears over you. Nations will come to your light, and kings to the brightness of your dawn” (Isa. 60:1–3). What God will have done for His people will shine into the world like a torch. ”For Zion´s sake I will not keep silent, for Jerusalem´s sake I will not remain quiet, till her righteousness shines out like the dawn, her salvation like a blazing torch. The nations will see your righteousness, and all kings your glory” (Isa. 62:1-2). Because God´s plan of salvation is most closely connected with Jerusalem, there will be a migration of the peoples so to speak: “And many peoples and powerful nations will come to Jerusalem to seek the LORD Almighty and to entreat Him” (Zech. 8:22). “Many nations will come and say, ´Come, let us go up to the mountain of the LORD, to the house of the God of Jacob. He will teach us His ways, so that we may walk in His paths…” (Mi 4:2). </w:t>
      </w:r>
    </w:p>
    <w:p w14:paraId="31E5226B" w14:textId="77777777" w:rsidR="00256DE2" w:rsidRPr="00256DE2" w:rsidRDefault="00256DE2" w:rsidP="00256DE2">
      <w:pPr>
        <w:jc w:val="both"/>
        <w:rPr>
          <w:sz w:val="28"/>
          <w:szCs w:val="28"/>
          <w:lang w:val="en-GB"/>
        </w:rPr>
      </w:pPr>
      <w:r w:rsidRPr="00256DE2">
        <w:rPr>
          <w:sz w:val="28"/>
          <w:szCs w:val="28"/>
          <w:lang w:val="en-GB"/>
        </w:rPr>
        <w:t>The epistle to the Galatians states clearly “…that the blessing given to Abraham might come to the Gentiles through Christ Jesus…” (Gal. 3:14). “…the root of Jesse will stand as a banner for the peoples; the nations will rally to Him” (Isa.11:10). And indeed the Heavenly Father has sent His only Son with a mission for Israel as well as for the Gentiles: “It is too small a thing for You to be My servant to restore the tribes of Jacob and bring back those of Israel I have kept. I will also make You a light for the Gentiles, that You may bring My salvation to the ends of the earth” (Isa. 49:6).</w:t>
      </w:r>
    </w:p>
    <w:p w14:paraId="71C9B415" w14:textId="77777777" w:rsidR="00256DE2" w:rsidRPr="00256DE2" w:rsidRDefault="00256DE2" w:rsidP="00256DE2">
      <w:pPr>
        <w:jc w:val="both"/>
        <w:rPr>
          <w:sz w:val="28"/>
          <w:szCs w:val="28"/>
          <w:lang w:val="en-GB"/>
        </w:rPr>
      </w:pPr>
      <w:r w:rsidRPr="00256DE2">
        <w:rPr>
          <w:sz w:val="28"/>
          <w:szCs w:val="28"/>
          <w:lang w:val="en-GB"/>
        </w:rPr>
        <w:t>Notice what John can write about this Son of David: “He is the atoning sacrifice for our sins, and not only for ours but also for the sins of the whole world” (1 John 2:2).</w:t>
      </w:r>
    </w:p>
    <w:p w14:paraId="600D21AE" w14:textId="77777777" w:rsidR="00256DE2" w:rsidRPr="00256DE2" w:rsidRDefault="00256DE2" w:rsidP="00256DE2">
      <w:pPr>
        <w:jc w:val="both"/>
        <w:rPr>
          <w:b/>
          <w:sz w:val="28"/>
          <w:szCs w:val="28"/>
          <w:lang w:val="en-GB"/>
        </w:rPr>
      </w:pPr>
      <w:r w:rsidRPr="00256DE2">
        <w:rPr>
          <w:b/>
          <w:sz w:val="28"/>
          <w:szCs w:val="28"/>
          <w:lang w:val="en-GB"/>
        </w:rPr>
        <w:t xml:space="preserve">2) </w:t>
      </w:r>
      <w:r w:rsidRPr="00256DE2">
        <w:rPr>
          <w:b/>
          <w:sz w:val="28"/>
          <w:szCs w:val="28"/>
          <w:lang w:val="en-GB"/>
        </w:rPr>
        <w:tab/>
        <w:t>Drought or source</w:t>
      </w:r>
    </w:p>
    <w:p w14:paraId="7C3D4D2C" w14:textId="77777777" w:rsidR="00256DE2" w:rsidRPr="00256DE2" w:rsidRDefault="00256DE2" w:rsidP="00256DE2">
      <w:pPr>
        <w:jc w:val="both"/>
        <w:rPr>
          <w:i/>
          <w:sz w:val="28"/>
          <w:szCs w:val="28"/>
          <w:lang w:val="en-GB"/>
        </w:rPr>
      </w:pPr>
      <w:r w:rsidRPr="00256DE2">
        <w:rPr>
          <w:i/>
          <w:sz w:val="28"/>
          <w:szCs w:val="28"/>
          <w:lang w:val="en-GB"/>
        </w:rPr>
        <w:t>“This is what the LORD says: ´Cursed is the one who trusts in man, who depends on flesh for his strength and whose heart turns away from the LORD. He will be like a bush in the wastelands; he will not see prosperity when it comes. He will dwell in the parched places of the desert, in a salt land where no one lives” (17:5 -6).</w:t>
      </w:r>
    </w:p>
    <w:p w14:paraId="56C692D6" w14:textId="77777777" w:rsidR="00256DE2" w:rsidRPr="00256DE2" w:rsidRDefault="00256DE2" w:rsidP="00256DE2">
      <w:pPr>
        <w:jc w:val="both"/>
        <w:rPr>
          <w:i/>
          <w:sz w:val="28"/>
          <w:szCs w:val="28"/>
          <w:lang w:val="en-GB"/>
        </w:rPr>
      </w:pPr>
      <w:r w:rsidRPr="00256DE2">
        <w:rPr>
          <w:i/>
          <w:sz w:val="28"/>
          <w:szCs w:val="28"/>
          <w:lang w:val="en-GB"/>
        </w:rPr>
        <w:t>“But blessed is the man who trusts in the LORD, whose confidence is in Him. He will be like a tree planted by the water that sends out its roots by the stream. It does not fear when heat comes; its leaves are always green. It has no worries in a year of drought and never fails to bear fruit” (17:7-8).</w:t>
      </w:r>
    </w:p>
    <w:p w14:paraId="1AFBED57" w14:textId="77777777" w:rsidR="00256DE2" w:rsidRPr="00256DE2" w:rsidRDefault="00256DE2" w:rsidP="00256DE2">
      <w:pPr>
        <w:jc w:val="both"/>
        <w:rPr>
          <w:i/>
          <w:sz w:val="28"/>
          <w:szCs w:val="28"/>
          <w:lang w:val="en-GB"/>
        </w:rPr>
      </w:pPr>
      <w:r w:rsidRPr="00256DE2">
        <w:rPr>
          <w:i/>
          <w:sz w:val="28"/>
          <w:szCs w:val="28"/>
          <w:lang w:val="en-GB"/>
        </w:rPr>
        <w:t>“…Those who turn away from You will be written in the dust because they have forsaken the LORD, the spring of living water” (17:13).</w:t>
      </w:r>
    </w:p>
    <w:p w14:paraId="4DCCF507" w14:textId="77777777" w:rsidR="00256DE2" w:rsidRPr="00256DE2" w:rsidRDefault="00256DE2" w:rsidP="00256DE2">
      <w:pPr>
        <w:jc w:val="both"/>
        <w:rPr>
          <w:i/>
          <w:sz w:val="28"/>
          <w:szCs w:val="28"/>
          <w:lang w:val="en-GB"/>
        </w:rPr>
      </w:pPr>
    </w:p>
    <w:p w14:paraId="4AE0DFE4" w14:textId="77777777" w:rsidR="00256DE2" w:rsidRPr="00256DE2" w:rsidRDefault="00256DE2" w:rsidP="00256DE2">
      <w:pPr>
        <w:jc w:val="both"/>
        <w:rPr>
          <w:sz w:val="28"/>
          <w:szCs w:val="28"/>
          <w:lang w:val="en-GB"/>
        </w:rPr>
      </w:pPr>
      <w:r w:rsidRPr="00256DE2">
        <w:rPr>
          <w:sz w:val="28"/>
          <w:szCs w:val="28"/>
          <w:lang w:val="en-GB"/>
        </w:rPr>
        <w:t xml:space="preserve">When Moses sets before the people the choice between blessing and curse, he specifies the consequences of being disobedient to the God of Abraham, Isaac and Jacob: “The LORD will strike you with wasting disease, with fever and inflammation, with scorching heat and drought, with blight and mildew…” (Deut. 28:22). Again and again we human beings try to manage without God, or we trust in our own understanding. </w:t>
      </w:r>
      <w:r w:rsidRPr="00256DE2">
        <w:rPr>
          <w:i/>
          <w:sz w:val="28"/>
          <w:szCs w:val="28"/>
          <w:lang w:val="en-GB"/>
        </w:rPr>
        <w:t xml:space="preserve">“Do men make their own gods? Yes, but they are not gods!” (16:20) </w:t>
      </w:r>
      <w:r w:rsidRPr="00256DE2">
        <w:rPr>
          <w:sz w:val="28"/>
          <w:szCs w:val="28"/>
          <w:lang w:val="en-GB"/>
        </w:rPr>
        <w:t xml:space="preserve"> It may well be that we have to be led into “wasteland” from time to time in order to think about our way, to see that we “…sowed to please our sinful nature…” (Gal. 6:8) and to repent humbly expecting: </w:t>
      </w:r>
      <w:r w:rsidRPr="00256DE2">
        <w:rPr>
          <w:i/>
          <w:sz w:val="28"/>
          <w:szCs w:val="28"/>
          <w:lang w:val="en-GB"/>
        </w:rPr>
        <w:t>“Heal me, O LORD, and I will be healed; save me and I will be saved…” (17:14).</w:t>
      </w:r>
      <w:r w:rsidRPr="00256DE2">
        <w:rPr>
          <w:sz w:val="28"/>
          <w:szCs w:val="28"/>
          <w:lang w:val="en-GB"/>
        </w:rPr>
        <w:t xml:space="preserve"> The fruit of repentance is that we once again establish priority in our lives to the LORD again. If we give special emphasis to our own needs, God´s word as given to us through Haggai admonishes us: “… each of you is busy with his own house. Therefore, because of you the heavens have withheld their dew and the earth its crops. I called for a drought on the fields and the mountains, on the grain, the new wine, the oil and whatever the ground produces, on men and cattle , and on the labour of your hands” (Haggai 1:9–11).</w:t>
      </w:r>
    </w:p>
    <w:p w14:paraId="2FF9F935" w14:textId="77777777" w:rsidR="00256DE2" w:rsidRPr="00256DE2" w:rsidRDefault="00256DE2" w:rsidP="00256DE2">
      <w:pPr>
        <w:jc w:val="both"/>
        <w:rPr>
          <w:sz w:val="28"/>
          <w:szCs w:val="28"/>
          <w:lang w:val="en-GB"/>
        </w:rPr>
      </w:pPr>
      <w:r w:rsidRPr="00256DE2">
        <w:rPr>
          <w:sz w:val="28"/>
          <w:szCs w:val="28"/>
          <w:lang w:val="en-GB"/>
        </w:rPr>
        <w:t xml:space="preserve">When we go through a time of drought, of spiritual dryness, we should listen to the invitation of our loving Father: “Come, all you who are thirsty, come to the waters!...” (Isa. 55:1). He has promised the people of Israel: “…Water will gush forth in the wilderness and streams in the desert. The burning sand will become a pool, the thirsty ground bubbling springs…” (Isa. 35:6-7). This can already be experienced in a fascinating way in Israel for we know that the LORD promises also streams of spiritual water to His first loved people: “…Do not be afraid, O Jacob, My servant, Jeshurun, whom I have chosen. For I will pour water on the thirsty land, and streams on the dry ground; I will pour out My Spirit on your offspring and My blessing on your descendants” (Isa. 44:2-3). David confesses in worship: “…With You is the fountain of life…” (Ps. 36:9), and he knows: whose “…delight is in the law of the LORD…He is like a tree planted by streams of water, which yields its fruit in season and whose leaf does not wither. Whatever he does prospers” (Ps. 1:2-3). Our Haftarah text reads similarly - and does not conceal, by the way, that there may be challenges and crises also for those who are blessed by God. But they do not fear </w:t>
      </w:r>
      <w:r w:rsidRPr="00256DE2">
        <w:rPr>
          <w:i/>
          <w:sz w:val="28"/>
          <w:szCs w:val="28"/>
          <w:lang w:val="en-GB"/>
        </w:rPr>
        <w:t>“when heat comes”</w:t>
      </w:r>
      <w:r w:rsidRPr="00256DE2">
        <w:rPr>
          <w:sz w:val="28"/>
          <w:szCs w:val="28"/>
          <w:lang w:val="en-GB"/>
        </w:rPr>
        <w:t xml:space="preserve"> and when </w:t>
      </w:r>
      <w:r w:rsidRPr="00256DE2">
        <w:rPr>
          <w:i/>
          <w:sz w:val="28"/>
          <w:szCs w:val="28"/>
          <w:lang w:val="en-GB"/>
        </w:rPr>
        <w:t>“a year of drought”</w:t>
      </w:r>
      <w:r w:rsidRPr="00256DE2">
        <w:rPr>
          <w:sz w:val="28"/>
          <w:szCs w:val="28"/>
          <w:lang w:val="en-GB"/>
        </w:rPr>
        <w:t xml:space="preserve"> has to be overcome.</w:t>
      </w:r>
    </w:p>
    <w:p w14:paraId="23DA35C1" w14:textId="77777777" w:rsidR="00256DE2" w:rsidRPr="00256DE2" w:rsidRDefault="00256DE2" w:rsidP="00256DE2">
      <w:pPr>
        <w:jc w:val="both"/>
        <w:rPr>
          <w:sz w:val="28"/>
          <w:szCs w:val="28"/>
          <w:lang w:val="en-GB"/>
        </w:rPr>
      </w:pPr>
    </w:p>
    <w:p w14:paraId="054CFC3E" w14:textId="77777777" w:rsidR="00256DE2" w:rsidRPr="00256DE2" w:rsidRDefault="00256DE2" w:rsidP="00256DE2">
      <w:pPr>
        <w:jc w:val="both"/>
        <w:rPr>
          <w:sz w:val="28"/>
          <w:szCs w:val="28"/>
          <w:lang w:val="en-GB"/>
        </w:rPr>
      </w:pPr>
      <w:r w:rsidRPr="00256DE2">
        <w:rPr>
          <w:sz w:val="28"/>
          <w:szCs w:val="28"/>
          <w:lang w:val="en-GB"/>
        </w:rPr>
        <w:lastRenderedPageBreak/>
        <w:t xml:space="preserve">How does our Haftarah text read? </w:t>
      </w:r>
      <w:r w:rsidRPr="00256DE2">
        <w:rPr>
          <w:i/>
          <w:sz w:val="28"/>
          <w:szCs w:val="28"/>
          <w:lang w:val="en-GB"/>
        </w:rPr>
        <w:t>“The heart is deceitful above all things and beyond cure. Who can understand it? I the LORD search the heart and examine the mind, to reward a man according to his conduct, according to what his deeds deserve” (17:9-10).</w:t>
      </w:r>
      <w:r w:rsidRPr="00256DE2">
        <w:rPr>
          <w:sz w:val="28"/>
          <w:szCs w:val="28"/>
          <w:lang w:val="en-GB"/>
        </w:rPr>
        <w:t xml:space="preserve"> Once God says to the people of Israel: “My people have committed two sins: They have forsaken Me, the spring of living water, and have dug their own cisterns, broken cisterns that cannot hold water” (Jer. 2:13). We can only ask the author and finisher of our faith again and again for an obedient heart, as “the fear of the LORD is a fountain of life…” (Prov. 14:27).  Our Redeemer, Jeshua, says: “Whoever drinks the water I give him will never thirst…” (John 4:14).</w:t>
      </w:r>
    </w:p>
    <w:p w14:paraId="38280017" w14:textId="77777777" w:rsidR="00256DE2" w:rsidRPr="00256DE2" w:rsidRDefault="00256DE2" w:rsidP="00256DE2">
      <w:pPr>
        <w:jc w:val="both"/>
        <w:rPr>
          <w:sz w:val="28"/>
          <w:szCs w:val="28"/>
          <w:lang w:val="en-GB"/>
        </w:rPr>
      </w:pPr>
      <w:r w:rsidRPr="00256DE2">
        <w:rPr>
          <w:sz w:val="28"/>
          <w:szCs w:val="28"/>
          <w:lang w:val="en-GB"/>
        </w:rPr>
        <w:t>“…LORD, give me this water!...” (John 4:15).</w:t>
      </w:r>
    </w:p>
    <w:p w14:paraId="4B9B175D" w14:textId="71983184" w:rsidR="00E573F3" w:rsidRPr="00256DE2" w:rsidRDefault="00256DE2" w:rsidP="00256DE2">
      <w:pPr>
        <w:jc w:val="both"/>
        <w:rPr>
          <w:sz w:val="28"/>
          <w:szCs w:val="28"/>
        </w:rPr>
      </w:pPr>
      <w:r w:rsidRPr="00256DE2">
        <w:rPr>
          <w:b/>
          <w:sz w:val="28"/>
          <w:szCs w:val="28"/>
          <w:lang w:val="en-GB"/>
        </w:rPr>
        <w:br w:type="page"/>
      </w:r>
    </w:p>
    <w:sectPr w:rsidR="00E573F3" w:rsidRPr="00256DE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012F" w14:textId="77777777" w:rsidR="0002439E" w:rsidRDefault="0002439E" w:rsidP="00256DE2">
      <w:pPr>
        <w:spacing w:after="0" w:line="240" w:lineRule="auto"/>
      </w:pPr>
      <w:r>
        <w:separator/>
      </w:r>
    </w:p>
  </w:endnote>
  <w:endnote w:type="continuationSeparator" w:id="0">
    <w:p w14:paraId="2939DDF2" w14:textId="77777777" w:rsidR="0002439E" w:rsidRDefault="0002439E" w:rsidP="0025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C88E" w14:textId="77777777" w:rsidR="0002439E" w:rsidRDefault="0002439E" w:rsidP="00256DE2">
      <w:pPr>
        <w:spacing w:after="0" w:line="240" w:lineRule="auto"/>
      </w:pPr>
      <w:r>
        <w:separator/>
      </w:r>
    </w:p>
  </w:footnote>
  <w:footnote w:type="continuationSeparator" w:id="0">
    <w:p w14:paraId="00510D2E" w14:textId="77777777" w:rsidR="0002439E" w:rsidRDefault="0002439E" w:rsidP="00256DE2">
      <w:pPr>
        <w:spacing w:after="0" w:line="240" w:lineRule="auto"/>
      </w:pPr>
      <w:r>
        <w:continuationSeparator/>
      </w:r>
    </w:p>
  </w:footnote>
  <w:footnote w:id="1">
    <w:p w14:paraId="76B099DF" w14:textId="77777777" w:rsidR="00256DE2" w:rsidRDefault="00256DE2" w:rsidP="00256DE2">
      <w:pPr>
        <w:pStyle w:val="Funotentext"/>
        <w:rPr>
          <w:lang w:val="en-GB"/>
        </w:rPr>
      </w:pPr>
      <w:r>
        <w:rPr>
          <w:rStyle w:val="Funotenzeichen"/>
          <w:rFonts w:eastAsiaTheme="majorEastAsia"/>
        </w:rPr>
        <w:footnoteRef/>
      </w:r>
      <w:r>
        <w:rPr>
          <w:lang w:val="en-GB"/>
        </w:rPr>
        <w:t xml:space="preserve"> Siddur Shma Kolenu, published with Morascha, Basel/Zurich 1996</w:t>
      </w:r>
    </w:p>
  </w:footnote>
  <w:footnote w:id="2">
    <w:p w14:paraId="700C0934" w14:textId="77777777" w:rsidR="00256DE2" w:rsidRDefault="00256DE2" w:rsidP="00256DE2">
      <w:pPr>
        <w:pStyle w:val="Funotentext"/>
        <w:rPr>
          <w:lang w:val="en-GB"/>
        </w:rPr>
      </w:pPr>
      <w:r>
        <w:rPr>
          <w:rStyle w:val="Funotenzeichen"/>
          <w:rFonts w:eastAsiaTheme="majorEastAsia"/>
        </w:rPr>
        <w:footnoteRef/>
      </w:r>
      <w:r>
        <w:rPr>
          <w:lang w:val="en-GB"/>
        </w:rPr>
        <w:t xml:space="preserve"> Exclamation marks added by W.B.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E2"/>
    <w:rsid w:val="0002439E"/>
    <w:rsid w:val="00142C89"/>
    <w:rsid w:val="0014716C"/>
    <w:rsid w:val="00256DE2"/>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B1FD"/>
  <w15:chartTrackingRefBased/>
  <w15:docId w15:val="{93DC066A-BB3B-4C03-AC07-31634CAA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6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6D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6D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6DE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6D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6DE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56DE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6DE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6D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6D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6DE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6DE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6DE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56DE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6DE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56DE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6DE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5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6D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6D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6DE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56D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6DE2"/>
    <w:rPr>
      <w:i/>
      <w:iCs/>
      <w:color w:val="404040" w:themeColor="text1" w:themeTint="BF"/>
    </w:rPr>
  </w:style>
  <w:style w:type="paragraph" w:styleId="Listenabsatz">
    <w:name w:val="List Paragraph"/>
    <w:basedOn w:val="Standard"/>
    <w:uiPriority w:val="34"/>
    <w:qFormat/>
    <w:rsid w:val="00256DE2"/>
    <w:pPr>
      <w:ind w:left="720"/>
      <w:contextualSpacing/>
    </w:pPr>
  </w:style>
  <w:style w:type="character" w:styleId="IntensiveHervorhebung">
    <w:name w:val="Intense Emphasis"/>
    <w:basedOn w:val="Absatz-Standardschriftart"/>
    <w:uiPriority w:val="21"/>
    <w:qFormat/>
    <w:rsid w:val="00256DE2"/>
    <w:rPr>
      <w:i/>
      <w:iCs/>
      <w:color w:val="0F4761" w:themeColor="accent1" w:themeShade="BF"/>
    </w:rPr>
  </w:style>
  <w:style w:type="paragraph" w:styleId="IntensivesZitat">
    <w:name w:val="Intense Quote"/>
    <w:basedOn w:val="Standard"/>
    <w:next w:val="Standard"/>
    <w:link w:val="IntensivesZitatZchn"/>
    <w:uiPriority w:val="30"/>
    <w:qFormat/>
    <w:rsid w:val="0025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6DE2"/>
    <w:rPr>
      <w:i/>
      <w:iCs/>
      <w:color w:val="0F4761" w:themeColor="accent1" w:themeShade="BF"/>
    </w:rPr>
  </w:style>
  <w:style w:type="character" w:styleId="IntensiverVerweis">
    <w:name w:val="Intense Reference"/>
    <w:basedOn w:val="Absatz-Standardschriftart"/>
    <w:uiPriority w:val="32"/>
    <w:qFormat/>
    <w:rsid w:val="00256DE2"/>
    <w:rPr>
      <w:b/>
      <w:bCs/>
      <w:smallCaps/>
      <w:color w:val="0F4761" w:themeColor="accent1" w:themeShade="BF"/>
      <w:spacing w:val="5"/>
    </w:rPr>
  </w:style>
  <w:style w:type="paragraph" w:styleId="Funotentext">
    <w:name w:val="footnote text"/>
    <w:basedOn w:val="Standard"/>
    <w:link w:val="FunotentextZchn"/>
    <w:semiHidden/>
    <w:unhideWhenUsed/>
    <w:rsid w:val="00256DE2"/>
    <w:pPr>
      <w:spacing w:after="0" w:line="240" w:lineRule="auto"/>
    </w:pPr>
    <w:rPr>
      <w:rFonts w:eastAsia="Times New Roman"/>
      <w:kern w:val="0"/>
      <w:sz w:val="20"/>
      <w:szCs w:val="20"/>
      <w:lang w:eastAsia="de-DE" w:bidi="ar-SA"/>
      <w14:ligatures w14:val="none"/>
    </w:rPr>
  </w:style>
  <w:style w:type="character" w:customStyle="1" w:styleId="FunotentextZchn">
    <w:name w:val="Fußnotentext Zchn"/>
    <w:basedOn w:val="Absatz-Standardschriftart"/>
    <w:link w:val="Funotentext"/>
    <w:semiHidden/>
    <w:rsid w:val="00256DE2"/>
    <w:rPr>
      <w:rFonts w:eastAsia="Times New Roman"/>
      <w:kern w:val="0"/>
      <w:sz w:val="20"/>
      <w:szCs w:val="20"/>
      <w:lang w:eastAsia="de-DE" w:bidi="ar-SA"/>
      <w14:ligatures w14:val="none"/>
    </w:rPr>
  </w:style>
  <w:style w:type="character" w:styleId="Funotenzeichen">
    <w:name w:val="footnote reference"/>
    <w:semiHidden/>
    <w:unhideWhenUsed/>
    <w:rsid w:val="00256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6787</Characters>
  <Application>Microsoft Office Word</Application>
  <DocSecurity>0</DocSecurity>
  <Lines>113</Lines>
  <Paragraphs>19</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2026-04-23T09:00:00Z</dcterms:created>
  <dcterms:modified xsi:type="dcterms:W3CDTF">2026-04-23T09:07:00Z</dcterms:modified>
</cp:coreProperties>
</file>