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FD42" w14:textId="77777777" w:rsidR="00CF09FB" w:rsidRPr="00461BBB" w:rsidRDefault="00CF09FB" w:rsidP="00CF09FB">
      <w:pPr>
        <w:rPr>
          <w:sz w:val="48"/>
          <w:szCs w:val="48"/>
          <w:lang w:val="en-GB"/>
        </w:rPr>
      </w:pPr>
      <w:r w:rsidRPr="00461BBB">
        <w:rPr>
          <w:b/>
          <w:sz w:val="48"/>
          <w:szCs w:val="48"/>
          <w:lang w:val="en-GB"/>
        </w:rPr>
        <w:t>1 Kings 7:51 – 8:21</w:t>
      </w:r>
    </w:p>
    <w:p w14:paraId="066589AC" w14:textId="77777777" w:rsidR="00CF09FB" w:rsidRDefault="00CF09FB" w:rsidP="00CF09FB">
      <w:pPr>
        <w:rPr>
          <w:lang w:val="en-GB"/>
        </w:rPr>
      </w:pPr>
    </w:p>
    <w:p w14:paraId="005F43E9" w14:textId="77777777" w:rsidR="00CF09FB" w:rsidRPr="00CF09FB" w:rsidRDefault="00CF09FB" w:rsidP="00CF09FB">
      <w:pPr>
        <w:jc w:val="both"/>
        <w:rPr>
          <w:sz w:val="28"/>
          <w:szCs w:val="28"/>
          <w:lang w:val="en-GB"/>
        </w:rPr>
      </w:pPr>
      <w:r w:rsidRPr="00CF09FB">
        <w:rPr>
          <w:sz w:val="28"/>
          <w:szCs w:val="28"/>
          <w:lang w:val="en-GB"/>
        </w:rPr>
        <w:t>The weekly section (Ex. 38:21 – 40:38) reports on completion and consecration of the tabernacle, the Tent of Meeting, by Moses. Again and again it is stressed that the work was completed “…just as the LORD commanded Moses” (e.g. Ex. 39:32). Then it says: “Then the cloud covered the Tent of Meeting , and the glory of the LORD filled the tabernacle” (Ex. 40:34). The Haftarah is about a similar subject: the consecration of the temple built by Solomon.</w:t>
      </w:r>
    </w:p>
    <w:p w14:paraId="61BCEC80" w14:textId="77777777" w:rsidR="00CF09FB" w:rsidRPr="00CF09FB" w:rsidRDefault="00CF09FB" w:rsidP="00CF09FB">
      <w:pPr>
        <w:jc w:val="both"/>
        <w:rPr>
          <w:sz w:val="28"/>
          <w:szCs w:val="28"/>
          <w:lang w:val="en-GB"/>
        </w:rPr>
      </w:pPr>
    </w:p>
    <w:p w14:paraId="27C9E6CF" w14:textId="77777777" w:rsidR="00CF09FB" w:rsidRPr="00CF09FB" w:rsidRDefault="00CF09FB" w:rsidP="00CF09FB">
      <w:pPr>
        <w:jc w:val="both"/>
        <w:rPr>
          <w:b/>
          <w:sz w:val="28"/>
          <w:szCs w:val="28"/>
          <w:lang w:val="en-GB"/>
        </w:rPr>
      </w:pPr>
      <w:r w:rsidRPr="00CF09FB">
        <w:rPr>
          <w:b/>
          <w:sz w:val="28"/>
          <w:szCs w:val="28"/>
          <w:lang w:val="en-GB"/>
        </w:rPr>
        <w:t>1)</w:t>
      </w:r>
      <w:r w:rsidRPr="00CF09FB">
        <w:rPr>
          <w:b/>
          <w:sz w:val="28"/>
          <w:szCs w:val="28"/>
          <w:lang w:val="en-GB"/>
        </w:rPr>
        <w:tab/>
        <w:t xml:space="preserve"> Consecration of the temple</w:t>
      </w:r>
    </w:p>
    <w:p w14:paraId="07A8622D" w14:textId="77777777" w:rsidR="00CF09FB" w:rsidRPr="00CF09FB" w:rsidRDefault="00CF09FB" w:rsidP="00CF09FB">
      <w:pPr>
        <w:jc w:val="both"/>
        <w:rPr>
          <w:sz w:val="28"/>
          <w:szCs w:val="28"/>
          <w:lang w:val="en-GB"/>
        </w:rPr>
      </w:pPr>
    </w:p>
    <w:p w14:paraId="61CB1D0E" w14:textId="77777777" w:rsidR="00CF09FB" w:rsidRPr="00CF09FB" w:rsidRDefault="00CF09FB" w:rsidP="00CF09FB">
      <w:pPr>
        <w:jc w:val="both"/>
        <w:rPr>
          <w:i/>
          <w:sz w:val="28"/>
          <w:szCs w:val="28"/>
          <w:lang w:val="en-GB"/>
        </w:rPr>
      </w:pPr>
      <w:r w:rsidRPr="00CF09FB">
        <w:rPr>
          <w:i/>
          <w:sz w:val="28"/>
          <w:szCs w:val="28"/>
          <w:lang w:val="en-GB"/>
        </w:rPr>
        <w:t>“Then King Solomon summoned into his presence at Jerusalem the elders of Israel, all the heads of the tribes and the chiefs of the Israelite families, to bring up the ark of the LORD´s covenant from Zion, the City of David” (8:1).</w:t>
      </w:r>
    </w:p>
    <w:p w14:paraId="48269194" w14:textId="77777777" w:rsidR="00CF09FB" w:rsidRPr="00CF09FB" w:rsidRDefault="00CF09FB" w:rsidP="00CF09FB">
      <w:pPr>
        <w:jc w:val="both"/>
        <w:rPr>
          <w:i/>
          <w:sz w:val="28"/>
          <w:szCs w:val="28"/>
          <w:lang w:val="en-GB"/>
        </w:rPr>
      </w:pPr>
      <w:r w:rsidRPr="00CF09FB">
        <w:rPr>
          <w:i/>
          <w:sz w:val="28"/>
          <w:szCs w:val="28"/>
          <w:lang w:val="en-GB"/>
        </w:rPr>
        <w:t>“…sacrificing so many sheep and cattle that they could not be recorded or counted” (8:5).</w:t>
      </w:r>
    </w:p>
    <w:p w14:paraId="0AABBF66" w14:textId="77777777" w:rsidR="00CF09FB" w:rsidRPr="00CF09FB" w:rsidRDefault="00CF09FB" w:rsidP="00CF09FB">
      <w:pPr>
        <w:jc w:val="both"/>
        <w:rPr>
          <w:i/>
          <w:sz w:val="28"/>
          <w:szCs w:val="28"/>
          <w:lang w:val="en-GB"/>
        </w:rPr>
      </w:pPr>
      <w:r w:rsidRPr="00CF09FB">
        <w:rPr>
          <w:i/>
          <w:sz w:val="28"/>
          <w:szCs w:val="28"/>
          <w:lang w:val="en-GB"/>
        </w:rPr>
        <w:t>“There was nothing in the ark except the two stone tablets…” (8:9).</w:t>
      </w:r>
    </w:p>
    <w:p w14:paraId="79DA5D5B" w14:textId="77777777" w:rsidR="00CF09FB" w:rsidRPr="00CF09FB" w:rsidRDefault="00CF09FB" w:rsidP="00CF09FB">
      <w:pPr>
        <w:jc w:val="both"/>
        <w:rPr>
          <w:sz w:val="28"/>
          <w:szCs w:val="28"/>
          <w:lang w:val="en-GB"/>
        </w:rPr>
      </w:pPr>
      <w:r w:rsidRPr="00CF09FB">
        <w:rPr>
          <w:i/>
          <w:sz w:val="28"/>
          <w:szCs w:val="28"/>
          <w:lang w:val="en-GB"/>
        </w:rPr>
        <w:t>“But the LORD said to my father David. ´Because it was in your heart to built a temple for My Name, you did well to have this in your heart” (8:18).</w:t>
      </w:r>
    </w:p>
    <w:p w14:paraId="493C59D4" w14:textId="77777777" w:rsidR="00CF09FB" w:rsidRPr="00CF09FB" w:rsidRDefault="00CF09FB" w:rsidP="00CF09FB">
      <w:pPr>
        <w:jc w:val="both"/>
        <w:rPr>
          <w:sz w:val="28"/>
          <w:szCs w:val="28"/>
          <w:lang w:val="en-GB"/>
        </w:rPr>
      </w:pPr>
    </w:p>
    <w:p w14:paraId="2B4EF7E7" w14:textId="77777777" w:rsidR="00CF09FB" w:rsidRPr="00CF09FB" w:rsidRDefault="00CF09FB" w:rsidP="00CF09FB">
      <w:pPr>
        <w:jc w:val="both"/>
        <w:rPr>
          <w:sz w:val="28"/>
          <w:szCs w:val="28"/>
          <w:lang w:val="en-GB"/>
        </w:rPr>
      </w:pPr>
      <w:r w:rsidRPr="00CF09FB">
        <w:rPr>
          <w:sz w:val="28"/>
          <w:szCs w:val="28"/>
          <w:lang w:val="en-GB"/>
        </w:rPr>
        <w:t>What do we learn from this report?</w:t>
      </w:r>
    </w:p>
    <w:p w14:paraId="0F892340" w14:textId="77777777" w:rsidR="00CF09FB" w:rsidRPr="00CF09FB" w:rsidRDefault="00CF09FB" w:rsidP="00CF09FB">
      <w:pPr>
        <w:jc w:val="both"/>
        <w:rPr>
          <w:color w:val="000000"/>
          <w:sz w:val="28"/>
          <w:szCs w:val="28"/>
          <w:lang w:val="en-GB"/>
        </w:rPr>
      </w:pPr>
      <w:r w:rsidRPr="00CF09FB">
        <w:rPr>
          <w:sz w:val="28"/>
          <w:szCs w:val="28"/>
          <w:lang w:val="en-GB"/>
        </w:rPr>
        <w:t xml:space="preserve">What is on our minds? “To build a house for the LORD” – </w:t>
      </w:r>
      <w:r w:rsidRPr="00CF09FB">
        <w:rPr>
          <w:color w:val="000000"/>
          <w:sz w:val="28"/>
          <w:szCs w:val="28"/>
          <w:lang w:val="en-GB"/>
        </w:rPr>
        <w:t xml:space="preserve">what might this mean to us?  Obviously our motivation and our priorities are concerned. “Set your minds on things above, not on earthly things”, Paul warns us in Col. 3:2. Our LORD admonishes us: “But seek first His kingdom and His righteousness…” (Mt. 6:33). Jeshua teaches us to have the right focus in our lives by praying: “…Our Father in heaven, hallowed be Your name, Your kingdom come, Your will be done on earth as it is in heaven” (Mt. 6:9-10). This means that we should allow ourselves to be “…built into a spiritual house…” (1 Pt. 2:5) and to be used to testify “…as those entrusted with the secret things of God” (1 Cor. 4:1). “…but you go and proclaim the </w:t>
      </w:r>
      <w:smartTag w:uri="urn:schemas-microsoft-com:office:smarttags" w:element="place">
        <w:smartTag w:uri="urn:schemas-microsoft-com:office:smarttags" w:element="PlaceType">
          <w:r w:rsidRPr="00CF09FB">
            <w:rPr>
              <w:color w:val="000000"/>
              <w:sz w:val="28"/>
              <w:szCs w:val="28"/>
              <w:lang w:val="en-GB"/>
            </w:rPr>
            <w:t>kingdom</w:t>
          </w:r>
        </w:smartTag>
        <w:r w:rsidRPr="00CF09FB">
          <w:rPr>
            <w:color w:val="000000"/>
            <w:sz w:val="28"/>
            <w:szCs w:val="28"/>
            <w:lang w:val="en-GB"/>
          </w:rPr>
          <w:t xml:space="preserve"> of </w:t>
        </w:r>
        <w:smartTag w:uri="urn:schemas-microsoft-com:office:smarttags" w:element="PlaceName">
          <w:r w:rsidRPr="00CF09FB">
            <w:rPr>
              <w:color w:val="000000"/>
              <w:sz w:val="28"/>
              <w:szCs w:val="28"/>
              <w:lang w:val="en-GB"/>
            </w:rPr>
            <w:t>God</w:t>
          </w:r>
        </w:smartTag>
      </w:smartTag>
      <w:r w:rsidRPr="00CF09FB">
        <w:rPr>
          <w:color w:val="000000"/>
          <w:sz w:val="28"/>
          <w:szCs w:val="28"/>
          <w:lang w:val="en-GB"/>
        </w:rPr>
        <w:t xml:space="preserve">” (Luk. 9:60). </w:t>
      </w:r>
    </w:p>
    <w:p w14:paraId="1B1A08EC" w14:textId="77777777" w:rsidR="00CF09FB" w:rsidRPr="00CF09FB" w:rsidRDefault="00CF09FB" w:rsidP="00CF09FB">
      <w:pPr>
        <w:rPr>
          <w:sz w:val="28"/>
          <w:szCs w:val="28"/>
          <w:lang w:val="en-GB"/>
        </w:rPr>
      </w:pPr>
    </w:p>
    <w:p w14:paraId="50D501D3" w14:textId="77777777" w:rsidR="00CF09FB" w:rsidRPr="00CF09FB" w:rsidRDefault="00CF09FB" w:rsidP="00CF09FB">
      <w:pPr>
        <w:jc w:val="both"/>
        <w:rPr>
          <w:color w:val="000000"/>
          <w:sz w:val="28"/>
          <w:szCs w:val="28"/>
          <w:lang w:val="en-GB"/>
        </w:rPr>
      </w:pPr>
      <w:r w:rsidRPr="00CF09FB">
        <w:rPr>
          <w:color w:val="000000"/>
          <w:sz w:val="28"/>
          <w:szCs w:val="28"/>
          <w:lang w:val="en-GB"/>
        </w:rPr>
        <w:t xml:space="preserve">For this appointment we need the foundation of God´s word. The psalmist prays: “If Your law had not been my delight, I would have perished in my affliction” (Ps. 119:92). This reminds us of the report concerning the consecration of the temple that </w:t>
      </w:r>
      <w:r w:rsidRPr="00CF09FB">
        <w:rPr>
          <w:i/>
          <w:color w:val="000000"/>
          <w:sz w:val="28"/>
          <w:szCs w:val="28"/>
          <w:lang w:val="en-GB"/>
        </w:rPr>
        <w:t>“there was nothing in the ark except the two stone tablets”</w:t>
      </w:r>
      <w:r w:rsidRPr="00CF09FB">
        <w:rPr>
          <w:color w:val="000000"/>
          <w:sz w:val="28"/>
          <w:szCs w:val="28"/>
          <w:lang w:val="en-GB"/>
        </w:rPr>
        <w:t xml:space="preserve"> with God´s commandments. We are admonished: “Let the word of Christ dwell in you richly…” (Col. 3:16). We can rejoice that the word became flesh in Jesus Christ (John 1:14). We want to look upon Him, the author and perfecter of our faith (Hebr. 12:2), and strive so that it can be said about us – even when we are in distress – “When they looked up, they saw no one except Jesus” (Mt. 17:8).</w:t>
      </w:r>
    </w:p>
    <w:p w14:paraId="16B3EF6B" w14:textId="77777777" w:rsidR="00CF09FB" w:rsidRPr="00CF09FB" w:rsidRDefault="00CF09FB" w:rsidP="00CF09FB">
      <w:pPr>
        <w:jc w:val="both"/>
        <w:rPr>
          <w:sz w:val="28"/>
          <w:szCs w:val="28"/>
          <w:lang w:val="en-GB"/>
        </w:rPr>
      </w:pPr>
    </w:p>
    <w:p w14:paraId="0FF4A7B4" w14:textId="77777777" w:rsidR="00CF09FB" w:rsidRPr="00CF09FB" w:rsidRDefault="00CF09FB" w:rsidP="00CF09FB">
      <w:pPr>
        <w:jc w:val="both"/>
        <w:rPr>
          <w:color w:val="000000"/>
          <w:sz w:val="28"/>
          <w:szCs w:val="28"/>
          <w:lang w:val="en-GB"/>
        </w:rPr>
      </w:pPr>
      <w:r w:rsidRPr="00CF09FB">
        <w:rPr>
          <w:color w:val="000000"/>
          <w:sz w:val="28"/>
          <w:szCs w:val="28"/>
          <w:lang w:val="en-GB"/>
        </w:rPr>
        <w:lastRenderedPageBreak/>
        <w:t xml:space="preserve">The Israelites in those days agreed that they wanted to seek and celebrate God´s presence. </w:t>
      </w:r>
      <w:r w:rsidRPr="00CF09FB">
        <w:rPr>
          <w:i/>
          <w:color w:val="000000"/>
          <w:sz w:val="28"/>
          <w:szCs w:val="28"/>
          <w:lang w:val="en-GB"/>
        </w:rPr>
        <w:t xml:space="preserve">“All the men of </w:t>
      </w:r>
      <w:smartTag w:uri="urn:schemas-microsoft-com:office:smarttags" w:element="country-region">
        <w:smartTag w:uri="urn:schemas-microsoft-com:office:smarttags" w:element="place">
          <w:r w:rsidRPr="00CF09FB">
            <w:rPr>
              <w:i/>
              <w:color w:val="000000"/>
              <w:sz w:val="28"/>
              <w:szCs w:val="28"/>
              <w:lang w:val="en-GB"/>
            </w:rPr>
            <w:t>Israel</w:t>
          </w:r>
        </w:smartTag>
      </w:smartTag>
      <w:r w:rsidRPr="00CF09FB">
        <w:rPr>
          <w:i/>
          <w:color w:val="000000"/>
          <w:sz w:val="28"/>
          <w:szCs w:val="28"/>
          <w:lang w:val="en-GB"/>
        </w:rPr>
        <w:t xml:space="preserve"> came together…” (8:2).</w:t>
      </w:r>
      <w:r w:rsidRPr="00CF09FB">
        <w:rPr>
          <w:color w:val="000000"/>
          <w:sz w:val="28"/>
          <w:szCs w:val="28"/>
          <w:lang w:val="en-GB"/>
        </w:rPr>
        <w:t xml:space="preserve"> This is not at all self-evident, considering how difficult it is to live in spiritual unity even within a family. How often is unity in a congregation threatened! But how precious is what happened at Pentecost! “When the day of Pentecost came, they were all together in one place….All of them were filled with the Holy Spirit…” (Acts 2:1+4). It is said about the first assembly: “All the believers were one in heart and mind…” (Acts 4:32).  Knowing only too well how Satan tries to sow discord again and again, Paul warns us: “…be of one mind..” (2 Cor. 13:11). A spiritual process of growth is necessary “until we all reach unity in faith…” (Eph. 4:13). </w:t>
      </w:r>
    </w:p>
    <w:p w14:paraId="37D250F9" w14:textId="77777777" w:rsidR="00CF09FB" w:rsidRPr="00CF09FB" w:rsidRDefault="00CF09FB" w:rsidP="00CF09FB">
      <w:pPr>
        <w:rPr>
          <w:sz w:val="28"/>
          <w:szCs w:val="28"/>
          <w:lang w:val="en-GB"/>
        </w:rPr>
      </w:pPr>
    </w:p>
    <w:p w14:paraId="1A793D39" w14:textId="77777777" w:rsidR="00CF09FB" w:rsidRPr="00CF09FB" w:rsidRDefault="00CF09FB" w:rsidP="00CF09FB">
      <w:pPr>
        <w:jc w:val="both"/>
        <w:rPr>
          <w:sz w:val="28"/>
          <w:szCs w:val="28"/>
          <w:lang w:val="en-GB"/>
        </w:rPr>
      </w:pPr>
      <w:r w:rsidRPr="00CF09FB">
        <w:rPr>
          <w:color w:val="000000"/>
          <w:sz w:val="28"/>
          <w:szCs w:val="28"/>
          <w:lang w:val="en-GB"/>
        </w:rPr>
        <w:t>During the consecration of the temple the Israelites thankfully brought offerings beyond all</w:t>
      </w:r>
      <w:r w:rsidRPr="00CF09FB">
        <w:rPr>
          <w:sz w:val="28"/>
          <w:szCs w:val="28"/>
          <w:lang w:val="en-GB"/>
        </w:rPr>
        <w:t xml:space="preserve"> measure. What do we give the LORD? “Each man should give what he has decided in his heart to give, not reluctantly or under compulsion, for God loves a cheerful giver” (2 Cor. 9:7). The most important gift to our Redeemer and Saviour is our heart.  When a Pharisee asks the LORD Jesus which the greatest commandment in the Law is, He answers: “Love the LORD your God with all your heart and with all your soul and with all your mind” (Mt. 22:37). The consecration of the temple can remind us to dedicate ourselves to the LORD again. “Don´t you know that you yourselves are God´s temple and that God´s Spirit lives in you?” (1 Cor. 3:16).</w:t>
      </w:r>
    </w:p>
    <w:p w14:paraId="382E623D" w14:textId="77777777" w:rsidR="00CF09FB" w:rsidRPr="00CF09FB" w:rsidRDefault="00CF09FB" w:rsidP="00CF09FB">
      <w:pPr>
        <w:jc w:val="both"/>
        <w:rPr>
          <w:sz w:val="28"/>
          <w:szCs w:val="28"/>
          <w:lang w:val="en-GB"/>
        </w:rPr>
      </w:pPr>
    </w:p>
    <w:p w14:paraId="667B9048" w14:textId="77777777" w:rsidR="00CF09FB" w:rsidRPr="00CF09FB" w:rsidRDefault="00CF09FB" w:rsidP="00CF09FB">
      <w:pPr>
        <w:jc w:val="both"/>
        <w:rPr>
          <w:b/>
          <w:sz w:val="28"/>
          <w:szCs w:val="28"/>
          <w:lang w:val="en-GB"/>
        </w:rPr>
      </w:pPr>
      <w:r w:rsidRPr="00CF09FB">
        <w:rPr>
          <w:b/>
          <w:sz w:val="28"/>
          <w:szCs w:val="28"/>
          <w:lang w:val="en-GB"/>
        </w:rPr>
        <w:t xml:space="preserve">2) </w:t>
      </w:r>
      <w:r w:rsidRPr="00CF09FB">
        <w:rPr>
          <w:b/>
          <w:sz w:val="28"/>
          <w:szCs w:val="28"/>
          <w:lang w:val="en-GB"/>
        </w:rPr>
        <w:tab/>
        <w:t>The cloud</w:t>
      </w:r>
    </w:p>
    <w:p w14:paraId="2D5AF6FE" w14:textId="77777777" w:rsidR="00CF09FB" w:rsidRPr="00CF09FB" w:rsidRDefault="00CF09FB" w:rsidP="00CF09FB">
      <w:pPr>
        <w:rPr>
          <w:sz w:val="28"/>
          <w:szCs w:val="28"/>
          <w:lang w:val="en-GB"/>
        </w:rPr>
      </w:pPr>
    </w:p>
    <w:p w14:paraId="15C24A23" w14:textId="77777777" w:rsidR="00CF09FB" w:rsidRPr="00CF09FB" w:rsidRDefault="00CF09FB" w:rsidP="00CF09FB">
      <w:pPr>
        <w:jc w:val="both"/>
        <w:rPr>
          <w:i/>
          <w:sz w:val="28"/>
          <w:szCs w:val="28"/>
          <w:lang w:val="en-GB"/>
        </w:rPr>
      </w:pPr>
      <w:r w:rsidRPr="00CF09FB">
        <w:rPr>
          <w:i/>
          <w:sz w:val="28"/>
          <w:szCs w:val="28"/>
          <w:lang w:val="en-GB"/>
        </w:rPr>
        <w:t xml:space="preserve">“When the priests withdrew from the </w:t>
      </w:r>
      <w:smartTag w:uri="urn:schemas-microsoft-com:office:smarttags" w:element="address">
        <w:smartTag w:uri="urn:schemas-microsoft-com:office:smarttags" w:element="Street">
          <w:r w:rsidRPr="00CF09FB">
            <w:rPr>
              <w:i/>
              <w:sz w:val="28"/>
              <w:szCs w:val="28"/>
              <w:lang w:val="en-GB"/>
            </w:rPr>
            <w:t>Holy Place</w:t>
          </w:r>
        </w:smartTag>
      </w:smartTag>
      <w:r w:rsidRPr="00CF09FB">
        <w:rPr>
          <w:i/>
          <w:sz w:val="28"/>
          <w:szCs w:val="28"/>
          <w:lang w:val="en-GB"/>
        </w:rPr>
        <w:t xml:space="preserve">, the cloud filled the temple of the LORD. And the priests could not perform their service because of the cloud, for the glory of the LORD filled His temple” (8:10-11). </w:t>
      </w:r>
    </w:p>
    <w:p w14:paraId="59A2EEB7" w14:textId="77777777" w:rsidR="00CF09FB" w:rsidRPr="00CF09FB" w:rsidRDefault="00CF09FB" w:rsidP="00CF09FB">
      <w:pPr>
        <w:jc w:val="both"/>
        <w:rPr>
          <w:i/>
          <w:sz w:val="28"/>
          <w:szCs w:val="28"/>
          <w:lang w:val="en-GB"/>
        </w:rPr>
      </w:pPr>
    </w:p>
    <w:p w14:paraId="5AACBFB1" w14:textId="77777777" w:rsidR="00CF09FB" w:rsidRPr="00CF09FB" w:rsidRDefault="00CF09FB" w:rsidP="00CF09FB">
      <w:pPr>
        <w:jc w:val="both"/>
        <w:rPr>
          <w:sz w:val="28"/>
          <w:szCs w:val="28"/>
          <w:lang w:val="en-GB"/>
        </w:rPr>
      </w:pPr>
      <w:r w:rsidRPr="00CF09FB">
        <w:rPr>
          <w:sz w:val="28"/>
          <w:szCs w:val="28"/>
          <w:lang w:val="en-GB"/>
        </w:rPr>
        <w:t xml:space="preserve">Again and again the presence of the LORD and His glory is connected with a cloud. In Deut. 33:26 it says: “There is no one like the God of Jeshurun, who rides on the heavens to help you and on the clouds in His majesty”, or in Ps. 68:34: “Ascribe ye strength unto God; His excellency is over </w:t>
      </w:r>
      <w:smartTag w:uri="urn:schemas-microsoft-com:office:smarttags" w:element="country-region">
        <w:smartTag w:uri="urn:schemas-microsoft-com:office:smarttags" w:element="place">
          <w:r w:rsidRPr="00CF09FB">
            <w:rPr>
              <w:sz w:val="28"/>
              <w:szCs w:val="28"/>
              <w:lang w:val="en-GB"/>
            </w:rPr>
            <w:t>Israel</w:t>
          </w:r>
        </w:smartTag>
      </w:smartTag>
      <w:r w:rsidRPr="00CF09FB">
        <w:rPr>
          <w:sz w:val="28"/>
          <w:szCs w:val="28"/>
          <w:lang w:val="en-GB"/>
        </w:rPr>
        <w:t xml:space="preserve">, and His strength is in the clouds” (King James Version). When God wants to send manna and quail after the Israelites grumbled “…there was the glory of the LORD appearing in the </w:t>
      </w:r>
      <w:r w:rsidRPr="00CF09FB">
        <w:rPr>
          <w:color w:val="000000"/>
          <w:sz w:val="28"/>
          <w:szCs w:val="28"/>
          <w:lang w:val="en-GB"/>
        </w:rPr>
        <w:t>cloud” (Ex. 16:10). Moses is prepared to receive the tablets of Law by the words:</w:t>
      </w:r>
      <w:r w:rsidRPr="00CF09FB">
        <w:rPr>
          <w:sz w:val="28"/>
          <w:szCs w:val="28"/>
          <w:lang w:val="en-GB"/>
        </w:rPr>
        <w:t xml:space="preserve"> “…I am going to come to you in a dense cloud, so that the people will hear Me speaking with you and will always put their trust in you…” (Ex. 19:9). And we know from Num.9:15 ff. that the LORD leads His people through the desert by a cloud and the appearance of fire. Ezekiel describes his vision of God´s glory: “I looked, and I saw a windstorm coming out of the north – an immense cloud with flashing lightning and surrounded by brilliant light…” (Ezek.1:4; see Ezek.10:3-4).</w:t>
      </w:r>
    </w:p>
    <w:p w14:paraId="3042C1A4" w14:textId="77777777" w:rsidR="00CF09FB" w:rsidRPr="00CF09FB" w:rsidRDefault="00CF09FB" w:rsidP="00CF09FB">
      <w:pPr>
        <w:jc w:val="both"/>
        <w:rPr>
          <w:sz w:val="28"/>
          <w:szCs w:val="28"/>
          <w:lang w:val="en-GB"/>
        </w:rPr>
      </w:pPr>
      <w:r w:rsidRPr="00CF09FB">
        <w:rPr>
          <w:sz w:val="28"/>
          <w:szCs w:val="28"/>
          <w:lang w:val="en-GB"/>
        </w:rPr>
        <w:t xml:space="preserve">Concerning the transfiguration of Jesus it says: “…a bright cloud enveloped them, and a voice from the cloud said, ´This is My Son, whom I love; with Him I am </w:t>
      </w:r>
      <w:r w:rsidRPr="00CF09FB">
        <w:rPr>
          <w:sz w:val="28"/>
          <w:szCs w:val="28"/>
          <w:lang w:val="en-GB"/>
        </w:rPr>
        <w:lastRenderedPageBreak/>
        <w:t xml:space="preserve">well pleased. Listen to </w:t>
      </w:r>
      <w:r w:rsidRPr="00CF09FB">
        <w:rPr>
          <w:color w:val="000000"/>
          <w:sz w:val="28"/>
          <w:szCs w:val="28"/>
          <w:lang w:val="en-GB"/>
        </w:rPr>
        <w:t>Him!” (Mt.17:5). Concerning His ascension, we read “…He was taken up before their very</w:t>
      </w:r>
      <w:r w:rsidRPr="00CF09FB">
        <w:rPr>
          <w:sz w:val="28"/>
          <w:szCs w:val="28"/>
          <w:lang w:val="en-GB"/>
        </w:rPr>
        <w:t xml:space="preserve"> eyes, and a cloud hid Him from their sight” (Acts 1:9). And what do we read about the second coming of Jesus? “At that time they will see the Son of Man coming in a cloud with power and great glory” (Luke 21:27). “Look, He is coming with the clouds, and every eye will see Him…” (Rev. 1:7). Hallelujah!</w:t>
      </w:r>
    </w:p>
    <w:p w14:paraId="0C0B9057" w14:textId="77777777" w:rsidR="00CF09FB" w:rsidRPr="00CF09FB" w:rsidRDefault="00CF09FB" w:rsidP="00CF09FB">
      <w:pPr>
        <w:jc w:val="both"/>
        <w:rPr>
          <w:sz w:val="28"/>
          <w:szCs w:val="28"/>
          <w:lang w:val="en-GB"/>
        </w:rPr>
      </w:pPr>
    </w:p>
    <w:p w14:paraId="32AD1254" w14:textId="77777777" w:rsidR="00CF09FB" w:rsidRPr="00CF09FB" w:rsidRDefault="00CF09FB" w:rsidP="00CF09FB">
      <w:pPr>
        <w:rPr>
          <w:sz w:val="28"/>
          <w:szCs w:val="28"/>
          <w:lang w:val="en-GB"/>
        </w:rPr>
      </w:pPr>
      <w:r w:rsidRPr="00CF09FB">
        <w:rPr>
          <w:sz w:val="28"/>
          <w:szCs w:val="28"/>
          <w:lang w:val="en-GB"/>
        </w:rPr>
        <w:t xml:space="preserve">  </w:t>
      </w:r>
    </w:p>
    <w:p w14:paraId="1820E594" w14:textId="34A4E740" w:rsidR="00E573F3" w:rsidRPr="00CF09FB" w:rsidRDefault="00CF09FB" w:rsidP="00CF09FB">
      <w:pPr>
        <w:rPr>
          <w:sz w:val="28"/>
          <w:szCs w:val="28"/>
        </w:rPr>
      </w:pPr>
      <w:r w:rsidRPr="00CF09FB">
        <w:rPr>
          <w:b/>
          <w:i/>
          <w:sz w:val="28"/>
          <w:szCs w:val="28"/>
          <w:lang w:val="en-GB"/>
        </w:rPr>
        <w:br w:type="page"/>
      </w:r>
    </w:p>
    <w:sectPr w:rsidR="00E573F3" w:rsidRPr="00CF09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FB"/>
    <w:rsid w:val="0014716C"/>
    <w:rsid w:val="005E77AE"/>
    <w:rsid w:val="00C605A8"/>
    <w:rsid w:val="00CF09FB"/>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1DF9156"/>
  <w15:chartTrackingRefBased/>
  <w15:docId w15:val="{0DC4FDAD-F834-43A3-85CB-9C8208BA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9FB"/>
    <w:pPr>
      <w:spacing w:after="0" w:line="240" w:lineRule="auto"/>
    </w:pPr>
    <w:rPr>
      <w:rFonts w:eastAsia="Times New Roman"/>
      <w:kern w:val="0"/>
      <w:lang w:eastAsia="de-DE" w:bidi="ar-SA"/>
      <w14:ligatures w14:val="none"/>
    </w:rPr>
  </w:style>
  <w:style w:type="paragraph" w:styleId="berschrift1">
    <w:name w:val="heading 1"/>
    <w:basedOn w:val="Standard"/>
    <w:next w:val="Standard"/>
    <w:link w:val="berschrift1Zchn"/>
    <w:uiPriority w:val="9"/>
    <w:qFormat/>
    <w:rsid w:val="00CF09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CF09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CF09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CF09F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bidi="he-IL"/>
      <w14:ligatures w14:val="standardContextual"/>
    </w:rPr>
  </w:style>
  <w:style w:type="paragraph" w:styleId="berschrift5">
    <w:name w:val="heading 5"/>
    <w:basedOn w:val="Standard"/>
    <w:next w:val="Standard"/>
    <w:link w:val="berschrift5Zchn"/>
    <w:uiPriority w:val="9"/>
    <w:semiHidden/>
    <w:unhideWhenUsed/>
    <w:qFormat/>
    <w:rsid w:val="00CF09F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bidi="he-IL"/>
      <w14:ligatures w14:val="standardContextual"/>
    </w:rPr>
  </w:style>
  <w:style w:type="paragraph" w:styleId="berschrift6">
    <w:name w:val="heading 6"/>
    <w:basedOn w:val="Standard"/>
    <w:next w:val="Standard"/>
    <w:link w:val="berschrift6Zchn"/>
    <w:uiPriority w:val="9"/>
    <w:semiHidden/>
    <w:unhideWhenUsed/>
    <w:qFormat/>
    <w:rsid w:val="00CF09F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bidi="he-IL"/>
      <w14:ligatures w14:val="standardContextual"/>
    </w:rPr>
  </w:style>
  <w:style w:type="paragraph" w:styleId="berschrift7">
    <w:name w:val="heading 7"/>
    <w:basedOn w:val="Standard"/>
    <w:next w:val="Standard"/>
    <w:link w:val="berschrift7Zchn"/>
    <w:uiPriority w:val="9"/>
    <w:semiHidden/>
    <w:unhideWhenUsed/>
    <w:qFormat/>
    <w:rsid w:val="00CF09FB"/>
    <w:pPr>
      <w:keepNext/>
      <w:keepLines/>
      <w:spacing w:before="40" w:line="278" w:lineRule="auto"/>
      <w:outlineLvl w:val="6"/>
    </w:pPr>
    <w:rPr>
      <w:rFonts w:asciiTheme="minorHAnsi" w:eastAsiaTheme="majorEastAsia" w:hAnsiTheme="minorHAnsi" w:cstheme="majorBidi"/>
      <w:color w:val="595959" w:themeColor="text1" w:themeTint="A6"/>
      <w:kern w:val="2"/>
      <w:lang w:eastAsia="en-US" w:bidi="he-IL"/>
      <w14:ligatures w14:val="standardContextual"/>
    </w:rPr>
  </w:style>
  <w:style w:type="paragraph" w:styleId="berschrift8">
    <w:name w:val="heading 8"/>
    <w:basedOn w:val="Standard"/>
    <w:next w:val="Standard"/>
    <w:link w:val="berschrift8Zchn"/>
    <w:uiPriority w:val="9"/>
    <w:semiHidden/>
    <w:unhideWhenUsed/>
    <w:qFormat/>
    <w:rsid w:val="00CF09FB"/>
    <w:pPr>
      <w:keepNext/>
      <w:keepLines/>
      <w:spacing w:line="278" w:lineRule="auto"/>
      <w:outlineLvl w:val="7"/>
    </w:pPr>
    <w:rPr>
      <w:rFonts w:asciiTheme="minorHAnsi" w:eastAsiaTheme="majorEastAsia" w:hAnsiTheme="minorHAnsi" w:cstheme="majorBidi"/>
      <w:i/>
      <w:iCs/>
      <w:color w:val="272727" w:themeColor="text1" w:themeTint="D8"/>
      <w:kern w:val="2"/>
      <w:lang w:eastAsia="en-US" w:bidi="he-IL"/>
      <w14:ligatures w14:val="standardContextual"/>
    </w:rPr>
  </w:style>
  <w:style w:type="paragraph" w:styleId="berschrift9">
    <w:name w:val="heading 9"/>
    <w:basedOn w:val="Standard"/>
    <w:next w:val="Standard"/>
    <w:link w:val="berschrift9Zchn"/>
    <w:uiPriority w:val="9"/>
    <w:semiHidden/>
    <w:unhideWhenUsed/>
    <w:qFormat/>
    <w:rsid w:val="00CF09FB"/>
    <w:pPr>
      <w:keepNext/>
      <w:keepLines/>
      <w:spacing w:line="278" w:lineRule="auto"/>
      <w:outlineLvl w:val="8"/>
    </w:pPr>
    <w:rPr>
      <w:rFonts w:asciiTheme="minorHAnsi" w:eastAsiaTheme="majorEastAsia" w:hAnsiTheme="minorHAnsi" w:cstheme="majorBidi"/>
      <w:color w:val="272727" w:themeColor="text1" w:themeTint="D8"/>
      <w:kern w:val="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09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09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09F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09F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09F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F09F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09F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F09F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09F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F09FB"/>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CF09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09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CF09F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F09FB"/>
    <w:pPr>
      <w:spacing w:before="160" w:after="160" w:line="278" w:lineRule="auto"/>
      <w:jc w:val="center"/>
    </w:pPr>
    <w:rPr>
      <w:rFonts w:eastAsiaTheme="minorHAnsi"/>
      <w:i/>
      <w:iCs/>
      <w:color w:val="404040" w:themeColor="text1" w:themeTint="BF"/>
      <w:kern w:val="2"/>
      <w:lang w:eastAsia="en-US" w:bidi="he-IL"/>
      <w14:ligatures w14:val="standardContextual"/>
    </w:rPr>
  </w:style>
  <w:style w:type="character" w:customStyle="1" w:styleId="ZitatZchn">
    <w:name w:val="Zitat Zchn"/>
    <w:basedOn w:val="Absatz-Standardschriftart"/>
    <w:link w:val="Zitat"/>
    <w:uiPriority w:val="29"/>
    <w:rsid w:val="00CF09FB"/>
    <w:rPr>
      <w:i/>
      <w:iCs/>
      <w:color w:val="404040" w:themeColor="text1" w:themeTint="BF"/>
    </w:rPr>
  </w:style>
  <w:style w:type="paragraph" w:styleId="Listenabsatz">
    <w:name w:val="List Paragraph"/>
    <w:basedOn w:val="Standard"/>
    <w:uiPriority w:val="34"/>
    <w:qFormat/>
    <w:rsid w:val="00CF09FB"/>
    <w:pPr>
      <w:spacing w:after="160" w:line="278" w:lineRule="auto"/>
      <w:ind w:left="720"/>
      <w:contextualSpacing/>
    </w:pPr>
    <w:rPr>
      <w:rFonts w:eastAsiaTheme="minorHAnsi"/>
      <w:kern w:val="2"/>
      <w:lang w:eastAsia="en-US" w:bidi="he-IL"/>
      <w14:ligatures w14:val="standardContextual"/>
    </w:rPr>
  </w:style>
  <w:style w:type="character" w:styleId="IntensiveHervorhebung">
    <w:name w:val="Intense Emphasis"/>
    <w:basedOn w:val="Absatz-Standardschriftart"/>
    <w:uiPriority w:val="21"/>
    <w:qFormat/>
    <w:rsid w:val="00CF09FB"/>
    <w:rPr>
      <w:i/>
      <w:iCs/>
      <w:color w:val="0F4761" w:themeColor="accent1" w:themeShade="BF"/>
    </w:rPr>
  </w:style>
  <w:style w:type="paragraph" w:styleId="IntensivesZitat">
    <w:name w:val="Intense Quote"/>
    <w:basedOn w:val="Standard"/>
    <w:next w:val="Standard"/>
    <w:link w:val="IntensivesZitatZchn"/>
    <w:uiPriority w:val="30"/>
    <w:qFormat/>
    <w:rsid w:val="00CF09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bidi="he-IL"/>
      <w14:ligatures w14:val="standardContextual"/>
    </w:rPr>
  </w:style>
  <w:style w:type="character" w:customStyle="1" w:styleId="IntensivesZitatZchn">
    <w:name w:val="Intensives Zitat Zchn"/>
    <w:basedOn w:val="Absatz-Standardschriftart"/>
    <w:link w:val="IntensivesZitat"/>
    <w:uiPriority w:val="30"/>
    <w:rsid w:val="00CF09FB"/>
    <w:rPr>
      <w:i/>
      <w:iCs/>
      <w:color w:val="0F4761" w:themeColor="accent1" w:themeShade="BF"/>
    </w:rPr>
  </w:style>
  <w:style w:type="character" w:styleId="IntensiverVerweis">
    <w:name w:val="Intense Reference"/>
    <w:basedOn w:val="Absatz-Standardschriftart"/>
    <w:uiPriority w:val="32"/>
    <w:qFormat/>
    <w:rsid w:val="00CF0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4824</Characters>
  <Application>Microsoft Office Word</Application>
  <DocSecurity>0</DocSecurity>
  <Lines>100</Lines>
  <Paragraphs>23</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2026-02-03T12:36:00Z</dcterms:created>
  <dcterms:modified xsi:type="dcterms:W3CDTF">2026-02-03T12:37:00Z</dcterms:modified>
</cp:coreProperties>
</file>